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E861" w14:textId="77777777" w:rsidR="00C44F66" w:rsidRPr="002756AE" w:rsidRDefault="00C44F66" w:rsidP="00273834">
      <w:pPr>
        <w:jc w:val="center"/>
        <w:rPr>
          <w:rFonts w:ascii="Arial" w:hAnsi="Arial" w:cs="Arial"/>
          <w:b/>
          <w:bCs/>
          <w:sz w:val="32"/>
          <w:szCs w:val="32"/>
          <w:lang w:val="en-GB"/>
        </w:rPr>
      </w:pPr>
      <w:r w:rsidRPr="002756AE">
        <w:rPr>
          <w:rFonts w:ascii="Arial" w:hAnsi="Arial" w:cs="Arial"/>
          <w:b/>
          <w:bCs/>
          <w:sz w:val="32"/>
          <w:szCs w:val="32"/>
          <w:lang w:val="en-GB"/>
        </w:rPr>
        <w:t xml:space="preserve">World Courier UK Limited </w:t>
      </w:r>
    </w:p>
    <w:p w14:paraId="16732B30" w14:textId="1C6ACFAD" w:rsidR="007D23E4" w:rsidRPr="002756AE" w:rsidRDefault="00EF108A" w:rsidP="00273834">
      <w:pPr>
        <w:jc w:val="center"/>
        <w:rPr>
          <w:rFonts w:ascii="Arial" w:hAnsi="Arial" w:cs="Arial"/>
          <w:b/>
          <w:bCs/>
          <w:sz w:val="32"/>
          <w:szCs w:val="32"/>
          <w:lang w:val="en-GB"/>
        </w:rPr>
      </w:pPr>
      <w:r w:rsidRPr="002756AE">
        <w:rPr>
          <w:rFonts w:ascii="Arial" w:hAnsi="Arial" w:cs="Arial"/>
          <w:b/>
          <w:bCs/>
          <w:sz w:val="32"/>
          <w:szCs w:val="32"/>
          <w:lang w:val="en-GB"/>
        </w:rPr>
        <w:t xml:space="preserve">2022 </w:t>
      </w:r>
      <w:r w:rsidR="007D23E4" w:rsidRPr="002756AE">
        <w:rPr>
          <w:rFonts w:ascii="Arial" w:hAnsi="Arial" w:cs="Arial"/>
          <w:b/>
          <w:bCs/>
          <w:sz w:val="32"/>
          <w:szCs w:val="32"/>
          <w:lang w:val="en-GB"/>
        </w:rPr>
        <w:t>Gender Pay Report</w:t>
      </w:r>
    </w:p>
    <w:p w14:paraId="7E4B6289" w14:textId="77777777" w:rsidR="0004659B" w:rsidRPr="002756AE" w:rsidRDefault="0004659B" w:rsidP="0070692C">
      <w:pPr>
        <w:jc w:val="both"/>
        <w:rPr>
          <w:rFonts w:ascii="Arial" w:hAnsi="Arial" w:cs="Arial"/>
          <w:lang w:val="en-GB"/>
        </w:rPr>
      </w:pPr>
    </w:p>
    <w:p w14:paraId="259D05A3" w14:textId="132F9959" w:rsidR="00225C28" w:rsidRPr="002756AE" w:rsidRDefault="00A439EB" w:rsidP="00B23717">
      <w:pPr>
        <w:jc w:val="both"/>
        <w:rPr>
          <w:rFonts w:ascii="Arial" w:hAnsi="Arial" w:cs="Arial"/>
          <w:lang w:val="en-GB"/>
        </w:rPr>
      </w:pPr>
      <w:r w:rsidRPr="002756AE">
        <w:rPr>
          <w:rFonts w:ascii="Arial" w:hAnsi="Arial" w:cs="Arial"/>
          <w:lang w:val="en-GB"/>
        </w:rPr>
        <w:t xml:space="preserve">At AmerisourceBergen, we are committed </w:t>
      </w:r>
      <w:r w:rsidR="00F154B6" w:rsidRPr="002756AE">
        <w:rPr>
          <w:rFonts w:ascii="Arial" w:hAnsi="Arial" w:cs="Arial"/>
          <w:lang w:val="en-GB"/>
        </w:rPr>
        <w:t>to fostering a global workplace that values all cultural, experiential, philosophical perspectives; creates pathways for every team member to thrive; makes a positive impact on our communities through equitable access to healthcare and is transparent and accountable for progress.</w:t>
      </w:r>
      <w:r w:rsidR="004F2AE2" w:rsidRPr="002756AE">
        <w:rPr>
          <w:rFonts w:ascii="Arial" w:hAnsi="Arial" w:cs="Arial"/>
          <w:lang w:val="en-GB"/>
        </w:rPr>
        <w:t xml:space="preserve"> </w:t>
      </w:r>
    </w:p>
    <w:p w14:paraId="49CA7C07" w14:textId="1D0989D0" w:rsidR="00337520" w:rsidRPr="002756AE" w:rsidRDefault="00F154B6" w:rsidP="00B23717">
      <w:pPr>
        <w:pStyle w:val="Default"/>
        <w:jc w:val="both"/>
        <w:rPr>
          <w:sz w:val="22"/>
          <w:szCs w:val="22"/>
          <w:lang w:val="en-GB"/>
        </w:rPr>
      </w:pPr>
      <w:r w:rsidRPr="002756AE">
        <w:rPr>
          <w:sz w:val="22"/>
          <w:szCs w:val="22"/>
          <w:lang w:val="en-GB"/>
        </w:rPr>
        <w:t xml:space="preserve">Our commitment to our Diversity, Equity and Inclusion transparency includes </w:t>
      </w:r>
      <w:r w:rsidR="00A439EB" w:rsidRPr="002756AE">
        <w:rPr>
          <w:sz w:val="22"/>
          <w:szCs w:val="22"/>
          <w:lang w:val="en-GB"/>
        </w:rPr>
        <w:t>gender pay equality</w:t>
      </w:r>
      <w:r w:rsidR="00515B5C" w:rsidRPr="002756AE">
        <w:rPr>
          <w:sz w:val="22"/>
          <w:szCs w:val="22"/>
          <w:lang w:val="en-GB"/>
        </w:rPr>
        <w:t xml:space="preserve"> an</w:t>
      </w:r>
      <w:r w:rsidR="00B64B94" w:rsidRPr="002756AE">
        <w:rPr>
          <w:sz w:val="22"/>
          <w:szCs w:val="22"/>
          <w:lang w:val="en-GB"/>
        </w:rPr>
        <w:t xml:space="preserve">d </w:t>
      </w:r>
      <w:r w:rsidR="0070257D" w:rsidRPr="002756AE">
        <w:rPr>
          <w:sz w:val="22"/>
          <w:szCs w:val="22"/>
          <w:lang w:val="en-GB"/>
        </w:rPr>
        <w:t xml:space="preserve">conducting pay equity assessments across our global population to ensure we </w:t>
      </w:r>
      <w:r w:rsidR="00B64B94" w:rsidRPr="002756AE">
        <w:rPr>
          <w:sz w:val="22"/>
          <w:szCs w:val="22"/>
          <w:lang w:val="en-GB"/>
        </w:rPr>
        <w:t xml:space="preserve">are compensating our workforce equally for the same roles regardless of gender. </w:t>
      </w:r>
      <w:r w:rsidR="007D4AE1" w:rsidRPr="002756AE">
        <w:rPr>
          <w:sz w:val="22"/>
          <w:szCs w:val="22"/>
          <w:lang w:val="en-GB"/>
        </w:rPr>
        <w:t xml:space="preserve">We </w:t>
      </w:r>
      <w:r w:rsidR="00337520" w:rsidRPr="002756AE">
        <w:rPr>
          <w:sz w:val="22"/>
          <w:szCs w:val="22"/>
          <w:lang w:val="en-GB"/>
        </w:rPr>
        <w:t>continue to take steps to improve representation at all levels of our global organization</w:t>
      </w:r>
      <w:r w:rsidR="0070257D" w:rsidRPr="002756AE">
        <w:rPr>
          <w:sz w:val="22"/>
          <w:szCs w:val="22"/>
          <w:lang w:val="en-GB"/>
        </w:rPr>
        <w:t xml:space="preserve"> and</w:t>
      </w:r>
      <w:r w:rsidR="00337520" w:rsidRPr="002756AE">
        <w:rPr>
          <w:sz w:val="22"/>
          <w:szCs w:val="22"/>
          <w:lang w:val="en-GB"/>
        </w:rPr>
        <w:t xml:space="preserve"> champion</w:t>
      </w:r>
      <w:r w:rsidR="007D4AE1" w:rsidRPr="002756AE">
        <w:rPr>
          <w:sz w:val="22"/>
          <w:szCs w:val="22"/>
          <w:lang w:val="en-GB"/>
        </w:rPr>
        <w:t xml:space="preserve"> the </w:t>
      </w:r>
      <w:r w:rsidR="00233FC5" w:rsidRPr="002756AE">
        <w:rPr>
          <w:sz w:val="22"/>
          <w:szCs w:val="22"/>
          <w:lang w:val="en-GB"/>
        </w:rPr>
        <w:t xml:space="preserve">females </w:t>
      </w:r>
      <w:r w:rsidR="007D4AE1" w:rsidRPr="002756AE">
        <w:rPr>
          <w:sz w:val="22"/>
          <w:szCs w:val="22"/>
          <w:lang w:val="en-GB"/>
        </w:rPr>
        <w:t xml:space="preserve">who make up </w:t>
      </w:r>
      <w:r w:rsidR="00627AA3" w:rsidRPr="002756AE">
        <w:rPr>
          <w:sz w:val="22"/>
          <w:szCs w:val="22"/>
          <w:lang w:val="en-GB"/>
        </w:rPr>
        <w:t>51</w:t>
      </w:r>
      <w:r w:rsidR="007D4AE1" w:rsidRPr="002756AE">
        <w:rPr>
          <w:sz w:val="22"/>
          <w:szCs w:val="22"/>
          <w:lang w:val="en-GB"/>
        </w:rPr>
        <w:t>% of our overall workforce</w:t>
      </w:r>
      <w:r w:rsidR="001407F0" w:rsidRPr="002756AE">
        <w:rPr>
          <w:sz w:val="22"/>
          <w:szCs w:val="22"/>
          <w:lang w:val="en-GB"/>
        </w:rPr>
        <w:t>,</w:t>
      </w:r>
      <w:r w:rsidR="0070257D" w:rsidRPr="002756AE">
        <w:rPr>
          <w:sz w:val="22"/>
          <w:szCs w:val="22"/>
          <w:lang w:val="en-GB"/>
        </w:rPr>
        <w:t xml:space="preserve"> </w:t>
      </w:r>
      <w:r w:rsidR="00627AA3" w:rsidRPr="002756AE">
        <w:rPr>
          <w:sz w:val="22"/>
          <w:szCs w:val="22"/>
          <w:lang w:val="en-GB"/>
        </w:rPr>
        <w:t>36</w:t>
      </w:r>
      <w:r w:rsidR="0070257D" w:rsidRPr="002756AE">
        <w:rPr>
          <w:sz w:val="22"/>
          <w:szCs w:val="22"/>
          <w:lang w:val="en-GB"/>
        </w:rPr>
        <w:t xml:space="preserve">% of leadership positions, </w:t>
      </w:r>
      <w:r w:rsidR="00627AA3" w:rsidRPr="002756AE">
        <w:rPr>
          <w:sz w:val="22"/>
          <w:szCs w:val="22"/>
          <w:lang w:val="en-GB"/>
        </w:rPr>
        <w:t>47</w:t>
      </w:r>
      <w:r w:rsidRPr="002756AE">
        <w:rPr>
          <w:sz w:val="22"/>
          <w:szCs w:val="22"/>
          <w:lang w:val="en-GB"/>
        </w:rPr>
        <w:t xml:space="preserve">% of manager positions, </w:t>
      </w:r>
      <w:r w:rsidR="0070257D" w:rsidRPr="002756AE">
        <w:rPr>
          <w:sz w:val="22"/>
          <w:szCs w:val="22"/>
          <w:lang w:val="en-GB"/>
        </w:rPr>
        <w:t xml:space="preserve">30% of our Board of Directors, and </w:t>
      </w:r>
      <w:r w:rsidRPr="002756AE">
        <w:rPr>
          <w:sz w:val="22"/>
          <w:szCs w:val="22"/>
          <w:lang w:val="en-GB"/>
        </w:rPr>
        <w:t>57</w:t>
      </w:r>
      <w:r w:rsidR="0070257D" w:rsidRPr="002756AE">
        <w:rPr>
          <w:sz w:val="22"/>
          <w:szCs w:val="22"/>
          <w:lang w:val="en-GB"/>
        </w:rPr>
        <w:t>% of our Executive Management Committee</w:t>
      </w:r>
      <w:r w:rsidR="00337520" w:rsidRPr="002756AE">
        <w:rPr>
          <w:sz w:val="22"/>
          <w:szCs w:val="22"/>
          <w:lang w:val="en-GB"/>
        </w:rPr>
        <w:t xml:space="preserve">. </w:t>
      </w:r>
    </w:p>
    <w:p w14:paraId="4FC8B346" w14:textId="61925859" w:rsidR="00337520" w:rsidRPr="002756AE" w:rsidRDefault="00337520" w:rsidP="00B23717">
      <w:pPr>
        <w:pStyle w:val="Default"/>
        <w:jc w:val="both"/>
        <w:rPr>
          <w:sz w:val="22"/>
          <w:szCs w:val="22"/>
          <w:lang w:val="en-GB"/>
        </w:rPr>
      </w:pPr>
    </w:p>
    <w:p w14:paraId="759966E4" w14:textId="483E6E10" w:rsidR="00D06D08" w:rsidRPr="00B23717" w:rsidRDefault="00FC33A7" w:rsidP="00B23717">
      <w:pPr>
        <w:jc w:val="both"/>
        <w:rPr>
          <w:rFonts w:ascii="Arial" w:hAnsi="Arial" w:cs="Arial"/>
          <w:lang w:val="en-GB"/>
        </w:rPr>
      </w:pPr>
      <w:r w:rsidRPr="00B23717">
        <w:rPr>
          <w:rFonts w:ascii="Arial" w:hAnsi="Arial" w:cs="Arial"/>
          <w:lang w:val="en-GB"/>
        </w:rPr>
        <w:t>This year</w:t>
      </w:r>
      <w:r w:rsidR="00904E70" w:rsidRPr="00B23717">
        <w:rPr>
          <w:rFonts w:ascii="Arial" w:hAnsi="Arial" w:cs="Arial"/>
          <w:lang w:val="en-GB"/>
        </w:rPr>
        <w:t xml:space="preserve"> </w:t>
      </w:r>
      <w:r w:rsidRPr="00B23717">
        <w:rPr>
          <w:rFonts w:ascii="Arial" w:hAnsi="Arial" w:cs="Arial"/>
          <w:lang w:val="en-GB"/>
        </w:rPr>
        <w:t xml:space="preserve">we’re publishing our </w:t>
      </w:r>
      <w:r w:rsidRPr="00B23717">
        <w:rPr>
          <w:rFonts w:ascii="Arial" w:hAnsi="Arial" w:cs="Arial"/>
          <w:b/>
          <w:bCs/>
          <w:lang w:val="en-GB"/>
        </w:rPr>
        <w:t>World Courier UK Operations</w:t>
      </w:r>
      <w:r w:rsidRPr="00B23717">
        <w:rPr>
          <w:rFonts w:ascii="Arial" w:hAnsi="Arial" w:cs="Arial"/>
          <w:lang w:val="en-GB"/>
        </w:rPr>
        <w:t xml:space="preserve"> gender pay gap for the first </w:t>
      </w:r>
      <w:r w:rsidR="00B23717" w:rsidRPr="00B23717">
        <w:rPr>
          <w:rFonts w:ascii="Arial" w:hAnsi="Arial" w:cs="Arial"/>
          <w:lang w:val="en-GB"/>
        </w:rPr>
        <w:t>time following</w:t>
      </w:r>
      <w:r w:rsidR="00904E70" w:rsidRPr="00B23717">
        <w:rPr>
          <w:rFonts w:ascii="Arial" w:hAnsi="Arial" w:cs="Arial"/>
          <w:lang w:val="en-GB"/>
        </w:rPr>
        <w:t xml:space="preserve"> an external review and analysis by </w:t>
      </w:r>
      <w:r w:rsidRPr="00B23717">
        <w:rPr>
          <w:rFonts w:ascii="Arial" w:hAnsi="Arial" w:cs="Arial"/>
          <w:lang w:val="en-GB"/>
        </w:rPr>
        <w:t xml:space="preserve">Mercer UK. </w:t>
      </w:r>
    </w:p>
    <w:p w14:paraId="79A9A480" w14:textId="3646768A" w:rsidR="003C60B2" w:rsidRDefault="00807D28" w:rsidP="00B23717">
      <w:pPr>
        <w:pStyle w:val="Default"/>
        <w:jc w:val="both"/>
        <w:rPr>
          <w:sz w:val="22"/>
          <w:szCs w:val="22"/>
          <w:lang w:val="en-GB"/>
        </w:rPr>
      </w:pPr>
      <w:bookmarkStart w:id="0" w:name="_Hlk79751082"/>
      <w:r w:rsidRPr="00B23717">
        <w:rPr>
          <w:sz w:val="22"/>
          <w:szCs w:val="22"/>
          <w:lang w:val="en-GB"/>
        </w:rPr>
        <w:t xml:space="preserve">In line with the reporting requirements, our </w:t>
      </w:r>
      <w:r w:rsidR="00904E70" w:rsidRPr="00B23717">
        <w:rPr>
          <w:sz w:val="22"/>
          <w:szCs w:val="22"/>
          <w:lang w:val="en-GB"/>
        </w:rPr>
        <w:t xml:space="preserve">gender </w:t>
      </w:r>
      <w:r w:rsidRPr="00B23717">
        <w:rPr>
          <w:sz w:val="22"/>
          <w:szCs w:val="22"/>
          <w:lang w:val="en-GB"/>
        </w:rPr>
        <w:t xml:space="preserve">pay gap data is taken on 5 April 2022. </w:t>
      </w:r>
      <w:r w:rsidR="007A257C" w:rsidRPr="00B23717">
        <w:rPr>
          <w:sz w:val="22"/>
          <w:szCs w:val="22"/>
          <w:lang w:val="en-GB"/>
        </w:rPr>
        <w:t xml:space="preserve">A </w:t>
      </w:r>
      <w:r w:rsidR="00904E70" w:rsidRPr="00B23717">
        <w:rPr>
          <w:sz w:val="22"/>
          <w:szCs w:val="22"/>
          <w:lang w:val="en-GB"/>
        </w:rPr>
        <w:t xml:space="preserve">gender </w:t>
      </w:r>
      <w:r w:rsidR="007A257C" w:rsidRPr="00B23717">
        <w:rPr>
          <w:sz w:val="22"/>
          <w:szCs w:val="22"/>
          <w:lang w:val="en-GB"/>
        </w:rPr>
        <w:t xml:space="preserve">pay gap </w:t>
      </w:r>
      <w:r w:rsidR="003C60B2" w:rsidRPr="00B23717">
        <w:rPr>
          <w:sz w:val="22"/>
          <w:szCs w:val="22"/>
          <w:lang w:val="en-GB"/>
        </w:rPr>
        <w:t xml:space="preserve">is the percentage between the hourly earnings between genders (across all jobs) which reflects the profile of its workforce, and typically the difference between what various groups of people earn, irrespective of their role or seniority. It </w:t>
      </w:r>
      <w:r w:rsidR="007A257C" w:rsidRPr="00B23717">
        <w:rPr>
          <w:sz w:val="22"/>
          <w:szCs w:val="22"/>
          <w:lang w:val="en-GB"/>
        </w:rPr>
        <w:t xml:space="preserve">is not the same as equal pay. Equal pay is the legal requirement for people to be paid the same for performing the same work. To measure our gender pay gap, we compare the mean and median hourly earnings of </w:t>
      </w:r>
      <w:r w:rsidR="00B23717" w:rsidRPr="00B23717">
        <w:rPr>
          <w:sz w:val="22"/>
          <w:szCs w:val="22"/>
          <w:lang w:val="en-GB"/>
        </w:rPr>
        <w:t>males and</w:t>
      </w:r>
      <w:r w:rsidR="007A257C" w:rsidRPr="00B23717">
        <w:rPr>
          <w:sz w:val="22"/>
          <w:szCs w:val="22"/>
          <w:lang w:val="en-GB"/>
        </w:rPr>
        <w:t xml:space="preserve"> </w:t>
      </w:r>
      <w:r w:rsidR="00904E70" w:rsidRPr="00B23717">
        <w:rPr>
          <w:sz w:val="22"/>
          <w:szCs w:val="22"/>
          <w:lang w:val="en-GB"/>
        </w:rPr>
        <w:t>females</w:t>
      </w:r>
      <w:r w:rsidR="007A257C" w:rsidRPr="00B23717">
        <w:rPr>
          <w:sz w:val="22"/>
          <w:szCs w:val="22"/>
          <w:lang w:val="en-GB"/>
        </w:rPr>
        <w:t xml:space="preserve">. </w:t>
      </w:r>
      <w:r w:rsidR="003C60B2" w:rsidRPr="00B23717">
        <w:rPr>
          <w:sz w:val="22"/>
          <w:szCs w:val="22"/>
          <w:lang w:val="en-GB"/>
        </w:rPr>
        <w:t>The mean – or average – is the sum of all the values, divided by how many values there are. The ‘median’ is the midpoint value in a data range.</w:t>
      </w:r>
    </w:p>
    <w:p w14:paraId="1799F7F7" w14:textId="77777777" w:rsidR="00B23717" w:rsidRPr="00B23717" w:rsidRDefault="00B23717" w:rsidP="00B23717">
      <w:pPr>
        <w:pStyle w:val="Default"/>
        <w:jc w:val="both"/>
        <w:rPr>
          <w:sz w:val="22"/>
          <w:szCs w:val="22"/>
          <w:lang w:val="en-GB"/>
        </w:rPr>
      </w:pPr>
    </w:p>
    <w:p w14:paraId="4023A39F" w14:textId="7262BA1C" w:rsidR="003C60B2" w:rsidRPr="000E0D05" w:rsidRDefault="007A257C" w:rsidP="003C60B2">
      <w:pPr>
        <w:pStyle w:val="Default"/>
        <w:jc w:val="both"/>
        <w:rPr>
          <w:sz w:val="22"/>
          <w:szCs w:val="22"/>
          <w:lang w:val="en-GB"/>
        </w:rPr>
      </w:pPr>
      <w:r w:rsidRPr="00B23717">
        <w:rPr>
          <w:sz w:val="22"/>
          <w:szCs w:val="22"/>
          <w:lang w:val="en-GB"/>
        </w:rPr>
        <w:t xml:space="preserve">The gender bonus gap is the percentage between the bonus payments between </w:t>
      </w:r>
      <w:r w:rsidR="00904E70" w:rsidRPr="00B23717">
        <w:rPr>
          <w:sz w:val="22"/>
          <w:szCs w:val="22"/>
          <w:lang w:val="en-GB"/>
        </w:rPr>
        <w:t>males and females</w:t>
      </w:r>
      <w:r w:rsidR="00E0144A" w:rsidRPr="00B23717">
        <w:rPr>
          <w:sz w:val="22"/>
          <w:szCs w:val="22"/>
          <w:lang w:val="en-GB"/>
        </w:rPr>
        <w:t>.</w:t>
      </w:r>
      <w:r w:rsidR="00904E70" w:rsidRPr="00B23717">
        <w:rPr>
          <w:sz w:val="22"/>
          <w:szCs w:val="22"/>
          <w:lang w:val="en-GB"/>
        </w:rPr>
        <w:t xml:space="preserve"> </w:t>
      </w:r>
      <w:r w:rsidR="003C60B2" w:rsidRPr="00B23717">
        <w:rPr>
          <w:sz w:val="22"/>
          <w:szCs w:val="22"/>
          <w:lang w:val="en-GB"/>
        </w:rPr>
        <w:t xml:space="preserve"> </w:t>
      </w:r>
      <w:r w:rsidR="00257429" w:rsidRPr="00B23717">
        <w:rPr>
          <w:sz w:val="22"/>
          <w:szCs w:val="22"/>
          <w:lang w:val="en-GB"/>
        </w:rPr>
        <w:t>To</w:t>
      </w:r>
      <w:r w:rsidR="003C60B2" w:rsidRPr="00B23717">
        <w:rPr>
          <w:sz w:val="22"/>
          <w:szCs w:val="22"/>
          <w:lang w:val="en-GB"/>
        </w:rPr>
        <w:t xml:space="preserve"> calculate this, any bonus payments received during the 12 months leading up to 5 </w:t>
      </w:r>
      <w:r w:rsidR="00257429" w:rsidRPr="00B23717">
        <w:rPr>
          <w:sz w:val="22"/>
          <w:szCs w:val="22"/>
          <w:lang w:val="en-GB"/>
        </w:rPr>
        <w:t>April 2022</w:t>
      </w:r>
      <w:r w:rsidR="003C60B2" w:rsidRPr="00B23717">
        <w:rPr>
          <w:sz w:val="22"/>
          <w:szCs w:val="22"/>
          <w:lang w:val="en-GB"/>
        </w:rPr>
        <w:t xml:space="preserve"> are also reviewed and compared by gender. </w:t>
      </w:r>
    </w:p>
    <w:p w14:paraId="6C81BB06" w14:textId="440EF861" w:rsidR="007A257C" w:rsidRPr="002756AE" w:rsidRDefault="007A257C" w:rsidP="00B23717">
      <w:pPr>
        <w:pStyle w:val="Default"/>
        <w:jc w:val="both"/>
        <w:rPr>
          <w:sz w:val="22"/>
          <w:szCs w:val="22"/>
          <w:lang w:val="en-GB"/>
        </w:rPr>
      </w:pPr>
    </w:p>
    <w:p w14:paraId="0D5B892B" w14:textId="57B8BAD9" w:rsidR="007A257C" w:rsidRPr="002756AE" w:rsidRDefault="007A257C" w:rsidP="00B23717">
      <w:pPr>
        <w:pStyle w:val="Default"/>
        <w:jc w:val="both"/>
        <w:rPr>
          <w:sz w:val="22"/>
          <w:szCs w:val="22"/>
          <w:lang w:val="en-GB"/>
        </w:rPr>
      </w:pPr>
      <w:r w:rsidRPr="002756AE">
        <w:rPr>
          <w:sz w:val="22"/>
          <w:szCs w:val="22"/>
          <w:lang w:val="en-GB"/>
        </w:rPr>
        <w:t>The below table indicates the results from this year’s analysis:</w:t>
      </w:r>
    </w:p>
    <w:p w14:paraId="33B755A5" w14:textId="77777777" w:rsidR="007A257C" w:rsidRPr="002756AE" w:rsidRDefault="007A257C" w:rsidP="00B23717">
      <w:pPr>
        <w:pStyle w:val="Default"/>
        <w:jc w:val="both"/>
        <w:rPr>
          <w:sz w:val="22"/>
          <w:szCs w:val="22"/>
          <w:lang w:val="en-GB"/>
        </w:rPr>
      </w:pPr>
    </w:p>
    <w:p w14:paraId="554C4822" w14:textId="64504977" w:rsidR="007A257C" w:rsidRPr="002756AE" w:rsidRDefault="007A257C" w:rsidP="00B23717">
      <w:pPr>
        <w:pStyle w:val="NoSpacing"/>
        <w:jc w:val="both"/>
        <w:rPr>
          <w:rFonts w:ascii="Arial" w:hAnsi="Arial" w:cs="Arial"/>
          <w:b/>
          <w:bCs/>
        </w:rPr>
      </w:pPr>
      <w:r w:rsidRPr="002756AE">
        <w:rPr>
          <w:rFonts w:ascii="Arial" w:hAnsi="Arial" w:cs="Arial"/>
          <w:b/>
          <w:bCs/>
        </w:rPr>
        <w:t>Gender pay gap (as at 5 April 2022)</w:t>
      </w:r>
    </w:p>
    <w:tbl>
      <w:tblPr>
        <w:tblStyle w:val="TableGrid"/>
        <w:tblpPr w:leftFromText="180" w:rightFromText="180" w:vertAnchor="text" w:horzAnchor="margin" w:tblpY="105"/>
        <w:tblW w:w="0" w:type="auto"/>
        <w:tblLook w:val="04A0" w:firstRow="1" w:lastRow="0" w:firstColumn="1" w:lastColumn="0" w:noHBand="0" w:noVBand="1"/>
      </w:tblPr>
      <w:tblGrid>
        <w:gridCol w:w="3695"/>
        <w:gridCol w:w="1710"/>
        <w:gridCol w:w="1800"/>
      </w:tblGrid>
      <w:tr w:rsidR="007A257C" w:rsidRPr="002756AE" w14:paraId="6DD6BF95" w14:textId="77777777" w:rsidTr="007A257C">
        <w:tc>
          <w:tcPr>
            <w:tcW w:w="3695" w:type="dxa"/>
          </w:tcPr>
          <w:p w14:paraId="4DB1DD30" w14:textId="77777777" w:rsidR="007A257C" w:rsidRPr="002756AE" w:rsidRDefault="007A257C" w:rsidP="00B23717">
            <w:pPr>
              <w:jc w:val="both"/>
              <w:rPr>
                <w:rFonts w:ascii="Arial" w:hAnsi="Arial" w:cs="Arial"/>
                <w:b/>
                <w:bCs/>
                <w:color w:val="000000" w:themeColor="text1"/>
                <w:lang w:val="en-GB"/>
              </w:rPr>
            </w:pPr>
          </w:p>
        </w:tc>
        <w:tc>
          <w:tcPr>
            <w:tcW w:w="1710" w:type="dxa"/>
          </w:tcPr>
          <w:p w14:paraId="3B7F4956" w14:textId="77777777" w:rsidR="007A257C" w:rsidRPr="002756AE" w:rsidRDefault="007A257C" w:rsidP="00B23717">
            <w:pPr>
              <w:jc w:val="both"/>
              <w:rPr>
                <w:rFonts w:ascii="Arial" w:hAnsi="Arial" w:cs="Arial"/>
                <w:b/>
                <w:bCs/>
                <w:color w:val="000000" w:themeColor="text1"/>
                <w:lang w:val="en-GB"/>
              </w:rPr>
            </w:pPr>
            <w:r w:rsidRPr="002756AE">
              <w:rPr>
                <w:rFonts w:ascii="Arial" w:hAnsi="Arial" w:cs="Arial"/>
                <w:b/>
                <w:bCs/>
                <w:color w:val="000000" w:themeColor="text1"/>
                <w:lang w:val="en-GB"/>
              </w:rPr>
              <w:t>Mean</w:t>
            </w:r>
          </w:p>
        </w:tc>
        <w:tc>
          <w:tcPr>
            <w:tcW w:w="1800" w:type="dxa"/>
          </w:tcPr>
          <w:p w14:paraId="1D2D4C59" w14:textId="77777777" w:rsidR="007A257C" w:rsidRPr="002756AE" w:rsidRDefault="007A257C" w:rsidP="00B23717">
            <w:pPr>
              <w:jc w:val="both"/>
              <w:rPr>
                <w:rFonts w:ascii="Arial" w:hAnsi="Arial" w:cs="Arial"/>
                <w:b/>
                <w:bCs/>
                <w:color w:val="000000" w:themeColor="text1"/>
                <w:lang w:val="en-GB"/>
              </w:rPr>
            </w:pPr>
            <w:r w:rsidRPr="002756AE">
              <w:rPr>
                <w:rFonts w:ascii="Arial" w:hAnsi="Arial" w:cs="Arial"/>
                <w:b/>
                <w:bCs/>
                <w:color w:val="000000" w:themeColor="text1"/>
                <w:lang w:val="en-GB"/>
              </w:rPr>
              <w:t>Median</w:t>
            </w:r>
          </w:p>
        </w:tc>
      </w:tr>
      <w:tr w:rsidR="007A257C" w:rsidRPr="002756AE" w14:paraId="7756308E" w14:textId="77777777" w:rsidTr="007A257C">
        <w:tc>
          <w:tcPr>
            <w:tcW w:w="3695" w:type="dxa"/>
          </w:tcPr>
          <w:p w14:paraId="62809B62" w14:textId="6D70F62A" w:rsidR="007A257C" w:rsidRPr="002756AE" w:rsidRDefault="007A257C" w:rsidP="00B23717">
            <w:pPr>
              <w:jc w:val="both"/>
              <w:rPr>
                <w:rFonts w:ascii="Arial" w:hAnsi="Arial" w:cs="Arial"/>
                <w:b/>
                <w:bCs/>
                <w:lang w:val="en-GB"/>
              </w:rPr>
            </w:pPr>
            <w:r w:rsidRPr="002756AE">
              <w:rPr>
                <w:rFonts w:ascii="Arial" w:hAnsi="Arial" w:cs="Arial"/>
                <w:b/>
                <w:bCs/>
                <w:lang w:val="en-GB"/>
              </w:rPr>
              <w:t xml:space="preserve">Gender Pay Gap </w:t>
            </w:r>
          </w:p>
        </w:tc>
        <w:tc>
          <w:tcPr>
            <w:tcW w:w="1710" w:type="dxa"/>
          </w:tcPr>
          <w:p w14:paraId="7AD5D9F0" w14:textId="77777777" w:rsidR="007A257C" w:rsidRPr="002756AE" w:rsidRDefault="007A257C" w:rsidP="00B23717">
            <w:pPr>
              <w:jc w:val="both"/>
              <w:rPr>
                <w:rFonts w:ascii="Arial" w:hAnsi="Arial" w:cs="Arial"/>
                <w:b/>
                <w:bCs/>
                <w:color w:val="DF028D"/>
                <w:lang w:val="en-GB"/>
              </w:rPr>
            </w:pPr>
            <w:r w:rsidRPr="002756AE">
              <w:rPr>
                <w:rFonts w:ascii="Arial" w:hAnsi="Arial" w:cs="Arial"/>
                <w:b/>
                <w:bCs/>
                <w:color w:val="DF028D"/>
                <w:lang w:val="en-GB"/>
              </w:rPr>
              <w:t>-5.1%</w:t>
            </w:r>
          </w:p>
        </w:tc>
        <w:tc>
          <w:tcPr>
            <w:tcW w:w="1800" w:type="dxa"/>
          </w:tcPr>
          <w:p w14:paraId="7916B622" w14:textId="77777777" w:rsidR="007A257C" w:rsidRPr="002756AE" w:rsidRDefault="007A257C" w:rsidP="00B23717">
            <w:pPr>
              <w:jc w:val="both"/>
              <w:rPr>
                <w:rFonts w:ascii="Arial" w:hAnsi="Arial" w:cs="Arial"/>
                <w:b/>
                <w:bCs/>
                <w:color w:val="DF028D"/>
                <w:lang w:val="en-GB"/>
              </w:rPr>
            </w:pPr>
            <w:r w:rsidRPr="002756AE">
              <w:rPr>
                <w:rFonts w:ascii="Arial" w:hAnsi="Arial" w:cs="Arial"/>
                <w:b/>
                <w:bCs/>
                <w:color w:val="DF028D"/>
                <w:lang w:val="en-GB"/>
              </w:rPr>
              <w:t>-8%</w:t>
            </w:r>
          </w:p>
        </w:tc>
      </w:tr>
      <w:tr w:rsidR="007A257C" w:rsidRPr="002756AE" w14:paraId="05B96735" w14:textId="77777777" w:rsidTr="007A257C">
        <w:tc>
          <w:tcPr>
            <w:tcW w:w="3695" w:type="dxa"/>
          </w:tcPr>
          <w:p w14:paraId="4091C1AE" w14:textId="2D5A7222" w:rsidR="007A257C" w:rsidRPr="002756AE" w:rsidRDefault="007A257C" w:rsidP="00B23717">
            <w:pPr>
              <w:jc w:val="both"/>
              <w:rPr>
                <w:rFonts w:ascii="Arial" w:hAnsi="Arial" w:cs="Arial"/>
                <w:b/>
                <w:bCs/>
                <w:lang w:val="en-GB"/>
              </w:rPr>
            </w:pPr>
            <w:r w:rsidRPr="002756AE">
              <w:rPr>
                <w:rFonts w:ascii="Arial" w:hAnsi="Arial" w:cs="Arial"/>
                <w:b/>
                <w:bCs/>
                <w:lang w:val="en-GB"/>
              </w:rPr>
              <w:t>Gender Bonus Gap</w:t>
            </w:r>
          </w:p>
        </w:tc>
        <w:tc>
          <w:tcPr>
            <w:tcW w:w="1710" w:type="dxa"/>
          </w:tcPr>
          <w:p w14:paraId="32C0010F" w14:textId="77777777" w:rsidR="007A257C" w:rsidRPr="002756AE" w:rsidRDefault="007A257C" w:rsidP="00B23717">
            <w:pPr>
              <w:jc w:val="both"/>
              <w:rPr>
                <w:rFonts w:ascii="Arial" w:hAnsi="Arial" w:cs="Arial"/>
                <w:b/>
                <w:bCs/>
                <w:color w:val="3C289B"/>
                <w:lang w:val="en-GB"/>
              </w:rPr>
            </w:pPr>
            <w:r w:rsidRPr="002756AE">
              <w:rPr>
                <w:rFonts w:ascii="Arial" w:hAnsi="Arial" w:cs="Arial"/>
                <w:b/>
                <w:bCs/>
                <w:color w:val="3C289B"/>
                <w:lang w:val="en-GB"/>
              </w:rPr>
              <w:t>28.3%</w:t>
            </w:r>
          </w:p>
        </w:tc>
        <w:tc>
          <w:tcPr>
            <w:tcW w:w="1800" w:type="dxa"/>
          </w:tcPr>
          <w:p w14:paraId="0AF575EB" w14:textId="77777777" w:rsidR="007A257C" w:rsidRPr="002756AE" w:rsidRDefault="007A257C" w:rsidP="00B23717">
            <w:pPr>
              <w:jc w:val="both"/>
              <w:rPr>
                <w:rFonts w:ascii="Arial" w:hAnsi="Arial" w:cs="Arial"/>
                <w:b/>
                <w:bCs/>
                <w:color w:val="3C289B"/>
                <w:lang w:val="en-GB"/>
              </w:rPr>
            </w:pPr>
            <w:r w:rsidRPr="002756AE">
              <w:rPr>
                <w:rFonts w:ascii="Arial" w:hAnsi="Arial" w:cs="Arial"/>
                <w:b/>
                <w:bCs/>
                <w:color w:val="3C289B"/>
                <w:lang w:val="en-GB"/>
              </w:rPr>
              <w:t>-8.3</w:t>
            </w:r>
          </w:p>
        </w:tc>
      </w:tr>
      <w:bookmarkEnd w:id="0"/>
    </w:tbl>
    <w:p w14:paraId="28219B10" w14:textId="2C468D01" w:rsidR="00E70086" w:rsidRPr="002756AE" w:rsidRDefault="00E70086" w:rsidP="00B23717">
      <w:pPr>
        <w:pStyle w:val="Default"/>
        <w:jc w:val="both"/>
        <w:rPr>
          <w:sz w:val="22"/>
          <w:szCs w:val="22"/>
          <w:lang w:val="en-GB"/>
        </w:rPr>
      </w:pPr>
    </w:p>
    <w:p w14:paraId="0A3D8330" w14:textId="77777777" w:rsidR="007A257C" w:rsidRPr="002756AE" w:rsidRDefault="007A257C" w:rsidP="00B23717">
      <w:pPr>
        <w:pStyle w:val="Default"/>
        <w:jc w:val="both"/>
        <w:rPr>
          <w:sz w:val="22"/>
          <w:szCs w:val="22"/>
          <w:lang w:val="en-GB"/>
        </w:rPr>
      </w:pPr>
    </w:p>
    <w:p w14:paraId="72B4DFC0" w14:textId="77777777" w:rsidR="007A257C" w:rsidRPr="002756AE" w:rsidRDefault="007A257C" w:rsidP="00B23717">
      <w:pPr>
        <w:pStyle w:val="Default"/>
        <w:jc w:val="both"/>
        <w:rPr>
          <w:sz w:val="22"/>
          <w:szCs w:val="22"/>
          <w:lang w:val="en-GB"/>
        </w:rPr>
      </w:pPr>
    </w:p>
    <w:p w14:paraId="331568CB" w14:textId="77777777" w:rsidR="007A257C" w:rsidRPr="002756AE" w:rsidRDefault="007A257C" w:rsidP="00B23717">
      <w:pPr>
        <w:pStyle w:val="Default"/>
        <w:jc w:val="both"/>
        <w:rPr>
          <w:sz w:val="22"/>
          <w:szCs w:val="22"/>
          <w:lang w:val="en-GB"/>
        </w:rPr>
      </w:pPr>
    </w:p>
    <w:p w14:paraId="299C3130" w14:textId="453F5B35" w:rsidR="00E70086" w:rsidRPr="002756AE" w:rsidRDefault="00874CD7" w:rsidP="00B23717">
      <w:pPr>
        <w:pStyle w:val="Default"/>
        <w:jc w:val="both"/>
        <w:rPr>
          <w:sz w:val="18"/>
          <w:szCs w:val="18"/>
          <w:lang w:val="en-GB"/>
        </w:rPr>
      </w:pPr>
      <w:r w:rsidRPr="002756AE">
        <w:rPr>
          <w:sz w:val="18"/>
          <w:szCs w:val="18"/>
          <w:lang w:val="en-GB"/>
        </w:rPr>
        <w:t>*A Negative (-) figure indicates when a</w:t>
      </w:r>
      <w:r w:rsidR="00904E70">
        <w:rPr>
          <w:sz w:val="18"/>
          <w:szCs w:val="18"/>
          <w:lang w:val="en-GB"/>
        </w:rPr>
        <w:t xml:space="preserve"> male</w:t>
      </w:r>
      <w:r w:rsidR="007A257C" w:rsidRPr="002756AE">
        <w:rPr>
          <w:sz w:val="18"/>
          <w:szCs w:val="18"/>
          <w:lang w:val="en-GB"/>
        </w:rPr>
        <w:t xml:space="preserve"> </w:t>
      </w:r>
      <w:r w:rsidRPr="002756AE">
        <w:rPr>
          <w:sz w:val="18"/>
          <w:szCs w:val="18"/>
          <w:lang w:val="en-GB"/>
        </w:rPr>
        <w:t>is paid less than a</w:t>
      </w:r>
      <w:r w:rsidR="00904E70">
        <w:rPr>
          <w:sz w:val="18"/>
          <w:szCs w:val="18"/>
          <w:lang w:val="en-GB"/>
        </w:rPr>
        <w:t xml:space="preserve"> female</w:t>
      </w:r>
    </w:p>
    <w:p w14:paraId="58D4ACF8" w14:textId="77777777" w:rsidR="00874CD7" w:rsidRPr="002756AE" w:rsidRDefault="00874CD7" w:rsidP="00B23717">
      <w:pPr>
        <w:pStyle w:val="Default"/>
        <w:jc w:val="both"/>
        <w:rPr>
          <w:sz w:val="22"/>
          <w:szCs w:val="22"/>
          <w:lang w:val="en-GB"/>
        </w:rPr>
      </w:pPr>
    </w:p>
    <w:p w14:paraId="262CAB47" w14:textId="2E35AF6E" w:rsidR="005433B4" w:rsidRDefault="00061784" w:rsidP="00B23717">
      <w:pPr>
        <w:pStyle w:val="Default"/>
        <w:jc w:val="both"/>
        <w:rPr>
          <w:sz w:val="22"/>
          <w:szCs w:val="22"/>
          <w:lang w:val="en-GB"/>
        </w:rPr>
      </w:pPr>
      <w:bookmarkStart w:id="1" w:name="_Hlk79752565"/>
      <w:r w:rsidRPr="002756AE">
        <w:rPr>
          <w:sz w:val="22"/>
          <w:szCs w:val="22"/>
          <w:lang w:val="en-GB"/>
        </w:rPr>
        <w:t xml:space="preserve">Both the mean and median </w:t>
      </w:r>
      <w:r w:rsidR="00CC7FA8" w:rsidRPr="002756AE">
        <w:rPr>
          <w:sz w:val="22"/>
          <w:szCs w:val="22"/>
          <w:lang w:val="en-GB"/>
        </w:rPr>
        <w:t xml:space="preserve">gender pay gaps </w:t>
      </w:r>
      <w:r w:rsidRPr="002756AE">
        <w:rPr>
          <w:sz w:val="22"/>
          <w:szCs w:val="22"/>
          <w:lang w:val="en-GB"/>
        </w:rPr>
        <w:t>favour</w:t>
      </w:r>
      <w:r w:rsidR="00B5695A" w:rsidRPr="002756AE">
        <w:rPr>
          <w:sz w:val="22"/>
          <w:szCs w:val="22"/>
          <w:lang w:val="en-GB"/>
        </w:rPr>
        <w:t>s</w:t>
      </w:r>
      <w:r w:rsidRPr="002756AE">
        <w:rPr>
          <w:sz w:val="22"/>
          <w:szCs w:val="22"/>
          <w:lang w:val="en-GB"/>
        </w:rPr>
        <w:t xml:space="preserve"> </w:t>
      </w:r>
      <w:r w:rsidR="003C60B2">
        <w:rPr>
          <w:sz w:val="22"/>
          <w:szCs w:val="22"/>
          <w:lang w:val="en-GB"/>
        </w:rPr>
        <w:t>females</w:t>
      </w:r>
      <w:r w:rsidRPr="002756AE">
        <w:rPr>
          <w:sz w:val="22"/>
          <w:szCs w:val="22"/>
          <w:lang w:val="en-GB"/>
        </w:rPr>
        <w:t>.</w:t>
      </w:r>
      <w:r w:rsidR="00CC7FA8" w:rsidRPr="002756AE">
        <w:rPr>
          <w:sz w:val="22"/>
          <w:szCs w:val="22"/>
          <w:lang w:val="en-GB"/>
        </w:rPr>
        <w:t xml:space="preserve"> </w:t>
      </w:r>
      <w:r w:rsidR="007D0F10" w:rsidRPr="00B23717">
        <w:rPr>
          <w:lang w:val="en-GB"/>
        </w:rPr>
        <w:t>Th</w:t>
      </w:r>
      <w:r w:rsidRPr="00B23717">
        <w:rPr>
          <w:lang w:val="en-GB"/>
        </w:rPr>
        <w:t>e</w:t>
      </w:r>
      <w:r w:rsidR="007D0F10" w:rsidRPr="00B23717">
        <w:rPr>
          <w:lang w:val="en-GB"/>
        </w:rPr>
        <w:t xml:space="preserve"> </w:t>
      </w:r>
      <w:r w:rsidR="00CC7FA8" w:rsidRPr="002756AE">
        <w:rPr>
          <w:sz w:val="22"/>
          <w:szCs w:val="22"/>
          <w:lang w:val="en-GB"/>
        </w:rPr>
        <w:t xml:space="preserve">gender </w:t>
      </w:r>
      <w:r w:rsidR="003C60B2">
        <w:rPr>
          <w:sz w:val="22"/>
          <w:szCs w:val="22"/>
          <w:lang w:val="en-GB"/>
        </w:rPr>
        <w:t xml:space="preserve">pay gap </w:t>
      </w:r>
      <w:r w:rsidR="007D0F10" w:rsidRPr="002756AE">
        <w:rPr>
          <w:sz w:val="22"/>
          <w:szCs w:val="22"/>
          <w:lang w:val="en-GB"/>
        </w:rPr>
        <w:t>result</w:t>
      </w:r>
      <w:r w:rsidRPr="002756AE">
        <w:rPr>
          <w:sz w:val="22"/>
          <w:szCs w:val="22"/>
          <w:lang w:val="en-GB"/>
        </w:rPr>
        <w:t>s are</w:t>
      </w:r>
      <w:r w:rsidR="00BB7797" w:rsidRPr="002756AE">
        <w:rPr>
          <w:sz w:val="22"/>
          <w:szCs w:val="22"/>
          <w:lang w:val="en-GB"/>
        </w:rPr>
        <w:t xml:space="preserve"> </w:t>
      </w:r>
      <w:r w:rsidR="00817F50" w:rsidRPr="002756AE">
        <w:rPr>
          <w:sz w:val="22"/>
          <w:szCs w:val="22"/>
          <w:lang w:val="en-GB"/>
        </w:rPr>
        <w:t xml:space="preserve">below </w:t>
      </w:r>
      <w:r w:rsidR="00CC325F" w:rsidRPr="002756AE">
        <w:rPr>
          <w:sz w:val="22"/>
          <w:szCs w:val="22"/>
          <w:lang w:val="en-GB"/>
        </w:rPr>
        <w:t xml:space="preserve">the </w:t>
      </w:r>
      <w:r w:rsidRPr="002756AE">
        <w:rPr>
          <w:sz w:val="22"/>
          <w:szCs w:val="22"/>
          <w:lang w:val="en-GB"/>
        </w:rPr>
        <w:t xml:space="preserve">2021 </w:t>
      </w:r>
      <w:r w:rsidR="00CC325F" w:rsidRPr="002756AE">
        <w:rPr>
          <w:sz w:val="22"/>
          <w:szCs w:val="22"/>
          <w:lang w:val="en-GB"/>
        </w:rPr>
        <w:t>overall UK median</w:t>
      </w:r>
      <w:r w:rsidR="007D0F10" w:rsidRPr="002756AE">
        <w:rPr>
          <w:sz w:val="22"/>
          <w:szCs w:val="22"/>
          <w:lang w:val="en-GB"/>
        </w:rPr>
        <w:t xml:space="preserve"> </w:t>
      </w:r>
      <w:r w:rsidR="001E4D92" w:rsidRPr="002756AE">
        <w:rPr>
          <w:sz w:val="22"/>
          <w:szCs w:val="22"/>
          <w:lang w:val="en-GB"/>
        </w:rPr>
        <w:t xml:space="preserve">of </w:t>
      </w:r>
      <w:r w:rsidR="00A0173A" w:rsidRPr="002756AE">
        <w:rPr>
          <w:sz w:val="22"/>
          <w:szCs w:val="22"/>
          <w:lang w:val="en-GB"/>
        </w:rPr>
        <w:t xml:space="preserve">9.7%. </w:t>
      </w:r>
      <w:r w:rsidR="007D0F10" w:rsidRPr="002756AE">
        <w:rPr>
          <w:sz w:val="22"/>
          <w:szCs w:val="22"/>
          <w:lang w:val="en-GB"/>
        </w:rPr>
        <w:t xml:space="preserve">as well as within the </w:t>
      </w:r>
      <w:r w:rsidR="00CC7FA8" w:rsidRPr="002756AE">
        <w:rPr>
          <w:sz w:val="22"/>
          <w:szCs w:val="22"/>
          <w:lang w:val="en-GB"/>
        </w:rPr>
        <w:t>t</w:t>
      </w:r>
      <w:r w:rsidR="00BB7797" w:rsidRPr="00B23717">
        <w:rPr>
          <w:sz w:val="22"/>
          <w:szCs w:val="22"/>
          <w:lang w:val="en-GB"/>
        </w:rPr>
        <w:t>ra</w:t>
      </w:r>
      <w:r w:rsidR="008D2E8A" w:rsidRPr="00B23717">
        <w:rPr>
          <w:sz w:val="22"/>
          <w:szCs w:val="22"/>
          <w:lang w:val="en-GB"/>
        </w:rPr>
        <w:t>nsportation</w:t>
      </w:r>
      <w:r w:rsidR="007D0F10" w:rsidRPr="00B23717">
        <w:rPr>
          <w:sz w:val="22"/>
          <w:szCs w:val="22"/>
          <w:lang w:val="en-GB"/>
        </w:rPr>
        <w:t xml:space="preserve"> sector</w:t>
      </w:r>
      <w:r w:rsidR="00817F50" w:rsidRPr="00B23717">
        <w:rPr>
          <w:sz w:val="22"/>
          <w:szCs w:val="22"/>
          <w:lang w:val="en-GB"/>
        </w:rPr>
        <w:t xml:space="preserve"> </w:t>
      </w:r>
      <w:r w:rsidR="00A0173A" w:rsidRPr="00B23717">
        <w:rPr>
          <w:sz w:val="22"/>
          <w:szCs w:val="22"/>
          <w:lang w:val="en-GB"/>
        </w:rPr>
        <w:t>6.4%</w:t>
      </w:r>
      <w:r w:rsidR="00CC7FA8" w:rsidRPr="002756AE">
        <w:rPr>
          <w:sz w:val="22"/>
          <w:szCs w:val="22"/>
          <w:lang w:val="en-GB"/>
        </w:rPr>
        <w:t>.</w:t>
      </w:r>
      <w:r w:rsidR="00A0173A" w:rsidRPr="002756AE">
        <w:rPr>
          <w:sz w:val="22"/>
          <w:szCs w:val="22"/>
          <w:lang w:val="en-GB"/>
        </w:rPr>
        <w:t xml:space="preserve"> </w:t>
      </w:r>
      <w:r w:rsidR="00CC7FA8" w:rsidRPr="002756AE">
        <w:rPr>
          <w:sz w:val="22"/>
          <w:szCs w:val="22"/>
          <w:lang w:val="en-GB"/>
        </w:rPr>
        <w:t xml:space="preserve">Our median gender </w:t>
      </w:r>
      <w:r w:rsidR="003C60B2">
        <w:rPr>
          <w:sz w:val="22"/>
          <w:szCs w:val="22"/>
          <w:lang w:val="en-GB"/>
        </w:rPr>
        <w:t xml:space="preserve">bonus </w:t>
      </w:r>
      <w:r w:rsidR="00CC7FA8" w:rsidRPr="002756AE">
        <w:rPr>
          <w:sz w:val="22"/>
          <w:szCs w:val="22"/>
          <w:lang w:val="en-GB"/>
        </w:rPr>
        <w:t>gap (-8.3</w:t>
      </w:r>
      <w:r w:rsidR="00B23717" w:rsidRPr="002756AE">
        <w:rPr>
          <w:sz w:val="22"/>
          <w:szCs w:val="22"/>
          <w:lang w:val="en-GB"/>
        </w:rPr>
        <w:t xml:space="preserve">%) </w:t>
      </w:r>
      <w:r w:rsidR="00B23717">
        <w:rPr>
          <w:sz w:val="22"/>
          <w:szCs w:val="22"/>
          <w:lang w:val="en-GB"/>
        </w:rPr>
        <w:t>favoured</w:t>
      </w:r>
      <w:r w:rsidR="00CC7FA8" w:rsidRPr="002756AE">
        <w:rPr>
          <w:sz w:val="22"/>
          <w:szCs w:val="22"/>
          <w:lang w:val="en-GB"/>
        </w:rPr>
        <w:t xml:space="preserve"> </w:t>
      </w:r>
      <w:r w:rsidR="003C60B2">
        <w:rPr>
          <w:sz w:val="22"/>
          <w:szCs w:val="22"/>
          <w:lang w:val="en-GB"/>
        </w:rPr>
        <w:t>females</w:t>
      </w:r>
      <w:r w:rsidR="00CC7FA8" w:rsidRPr="002756AE">
        <w:rPr>
          <w:sz w:val="22"/>
          <w:szCs w:val="22"/>
          <w:lang w:val="en-GB"/>
        </w:rPr>
        <w:t xml:space="preserve">, while the mean measure (28.3%) favoured </w:t>
      </w:r>
      <w:r w:rsidR="003C60B2">
        <w:rPr>
          <w:sz w:val="22"/>
          <w:szCs w:val="22"/>
          <w:lang w:val="en-GB"/>
        </w:rPr>
        <w:t>males</w:t>
      </w:r>
      <w:r w:rsidR="00CC7FA8" w:rsidRPr="002756AE">
        <w:rPr>
          <w:sz w:val="22"/>
          <w:szCs w:val="22"/>
          <w:lang w:val="en-GB"/>
        </w:rPr>
        <w:t xml:space="preserve">. </w:t>
      </w:r>
      <w:bookmarkEnd w:id="1"/>
      <w:r w:rsidR="00327328" w:rsidRPr="00B23717">
        <w:rPr>
          <w:sz w:val="22"/>
          <w:szCs w:val="22"/>
          <w:lang w:val="en-GB"/>
        </w:rPr>
        <w:t xml:space="preserve">This is because more </w:t>
      </w:r>
      <w:r w:rsidR="003C60B2" w:rsidRPr="00B23717">
        <w:rPr>
          <w:sz w:val="22"/>
          <w:szCs w:val="22"/>
          <w:lang w:val="en-GB"/>
        </w:rPr>
        <w:t xml:space="preserve">males </w:t>
      </w:r>
      <w:r w:rsidR="00120CA3" w:rsidRPr="002756AE">
        <w:rPr>
          <w:sz w:val="22"/>
          <w:szCs w:val="22"/>
          <w:lang w:val="en-GB"/>
        </w:rPr>
        <w:t>received bonuses in the relevant period.</w:t>
      </w:r>
    </w:p>
    <w:p w14:paraId="4555C1BD" w14:textId="77777777" w:rsidR="005433B4" w:rsidRDefault="005433B4" w:rsidP="00B23717">
      <w:pPr>
        <w:pStyle w:val="Default"/>
        <w:jc w:val="both"/>
        <w:rPr>
          <w:sz w:val="22"/>
          <w:szCs w:val="22"/>
          <w:lang w:val="en-GB"/>
        </w:rPr>
      </w:pPr>
    </w:p>
    <w:p w14:paraId="13130344" w14:textId="77777777" w:rsidR="005433B4" w:rsidRDefault="005433B4" w:rsidP="00B23717">
      <w:pPr>
        <w:pStyle w:val="Default"/>
        <w:jc w:val="both"/>
        <w:rPr>
          <w:sz w:val="22"/>
          <w:szCs w:val="22"/>
          <w:lang w:val="en-GB"/>
        </w:rPr>
      </w:pPr>
    </w:p>
    <w:p w14:paraId="0CF4CB05" w14:textId="77777777" w:rsidR="005433B4" w:rsidRPr="002756AE" w:rsidRDefault="005433B4" w:rsidP="00B23717">
      <w:pPr>
        <w:pStyle w:val="Default"/>
        <w:jc w:val="both"/>
        <w:rPr>
          <w:sz w:val="22"/>
          <w:szCs w:val="22"/>
          <w:lang w:val="en-GB"/>
        </w:rPr>
      </w:pPr>
    </w:p>
    <w:p w14:paraId="63B1FC7C" w14:textId="77777777" w:rsidR="00BC2E24" w:rsidRPr="002756AE" w:rsidRDefault="00BC2E24" w:rsidP="00B23717">
      <w:pPr>
        <w:pStyle w:val="Default"/>
        <w:jc w:val="both"/>
        <w:rPr>
          <w:sz w:val="22"/>
          <w:szCs w:val="22"/>
          <w:lang w:val="en-GB"/>
        </w:rPr>
      </w:pPr>
    </w:p>
    <w:p w14:paraId="19E3E4E9" w14:textId="15667B58" w:rsidR="00CD50FB" w:rsidRPr="002756AE" w:rsidRDefault="00CD50FB" w:rsidP="00B23717">
      <w:pPr>
        <w:pStyle w:val="Default"/>
        <w:jc w:val="both"/>
        <w:rPr>
          <w:b/>
          <w:bCs/>
          <w:color w:val="3C289B"/>
          <w:sz w:val="28"/>
          <w:szCs w:val="28"/>
          <w:lang w:val="en-GB"/>
        </w:rPr>
      </w:pPr>
      <w:r w:rsidRPr="002756AE">
        <w:rPr>
          <w:b/>
          <w:bCs/>
          <w:color w:val="3C289B"/>
          <w:sz w:val="28"/>
          <w:szCs w:val="28"/>
          <w:lang w:val="en-GB"/>
        </w:rPr>
        <w:lastRenderedPageBreak/>
        <w:t>Percentage of Employees Receiving a Bonus Payment</w:t>
      </w:r>
    </w:p>
    <w:p w14:paraId="17968D5A" w14:textId="2A63D4B0" w:rsidR="00BC2E24" w:rsidRPr="002756AE" w:rsidRDefault="00BC2E24" w:rsidP="00B23717">
      <w:pPr>
        <w:pStyle w:val="Default"/>
        <w:jc w:val="both"/>
        <w:rPr>
          <w:sz w:val="22"/>
          <w:szCs w:val="22"/>
          <w:lang w:val="en-GB"/>
        </w:rPr>
      </w:pPr>
    </w:p>
    <w:p w14:paraId="378591D1" w14:textId="52E33396" w:rsidR="00BC2E24" w:rsidRPr="002756AE" w:rsidRDefault="00BC2E24" w:rsidP="00B23717">
      <w:pPr>
        <w:pStyle w:val="Default"/>
        <w:jc w:val="both"/>
        <w:rPr>
          <w:sz w:val="22"/>
          <w:szCs w:val="22"/>
          <w:lang w:val="en-GB"/>
        </w:rPr>
      </w:pPr>
      <w:r w:rsidRPr="002756AE">
        <w:rPr>
          <w:noProof/>
          <w:sz w:val="22"/>
          <w:szCs w:val="22"/>
          <w:lang w:val="en-GB"/>
        </w:rPr>
        <mc:AlternateContent>
          <mc:Choice Requires="wps">
            <w:drawing>
              <wp:anchor distT="0" distB="0" distL="114300" distR="114300" simplePos="0" relativeHeight="251663360" behindDoc="0" locked="0" layoutInCell="1" allowOverlap="1" wp14:anchorId="5CBB1A00" wp14:editId="61E1C5FA">
                <wp:simplePos x="0" y="0"/>
                <wp:positionH relativeFrom="margin">
                  <wp:posOffset>1365490</wp:posOffset>
                </wp:positionH>
                <wp:positionV relativeFrom="paragraph">
                  <wp:posOffset>10160</wp:posOffset>
                </wp:positionV>
                <wp:extent cx="0" cy="52387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523875"/>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4B8861" id="Straight Connector 4"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107.5pt,.8pt" to="107.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" strokecolor="#002060" strokeweight="1.5pt">
                <v:stroke joinstyle="miter"/>
                <w10:wrap anchorx="margin"/>
              </v:line>
            </w:pict>
          </mc:Fallback>
        </mc:AlternateContent>
      </w:r>
      <w:r w:rsidRPr="002756AE">
        <w:rPr>
          <w:sz w:val="22"/>
          <w:szCs w:val="22"/>
          <w:lang w:val="en-GB"/>
        </w:rPr>
        <w:t>Female</w:t>
      </w:r>
      <w:r w:rsidRPr="002756AE">
        <w:rPr>
          <w:sz w:val="22"/>
          <w:szCs w:val="22"/>
          <w:lang w:val="en-GB"/>
        </w:rPr>
        <w:tab/>
      </w:r>
      <w:r w:rsidRPr="002756AE">
        <w:rPr>
          <w:sz w:val="22"/>
          <w:szCs w:val="22"/>
          <w:lang w:val="en-GB"/>
        </w:rPr>
        <w:tab/>
      </w:r>
      <w:r w:rsidRPr="002756AE">
        <w:rPr>
          <w:sz w:val="22"/>
          <w:szCs w:val="22"/>
          <w:lang w:val="en-GB"/>
        </w:rPr>
        <w:tab/>
      </w:r>
      <w:r w:rsidRPr="002756AE">
        <w:rPr>
          <w:sz w:val="22"/>
          <w:szCs w:val="22"/>
          <w:lang w:val="en-GB"/>
        </w:rPr>
        <w:tab/>
        <w:t>Male</w:t>
      </w:r>
    </w:p>
    <w:p w14:paraId="1D8AF35F" w14:textId="6605BE6E" w:rsidR="00BC2E24" w:rsidRPr="002756AE" w:rsidRDefault="00FD128A" w:rsidP="00B23717">
      <w:pPr>
        <w:pStyle w:val="Default"/>
        <w:jc w:val="both"/>
        <w:rPr>
          <w:b/>
          <w:bCs/>
          <w:color w:val="DF028D"/>
          <w:sz w:val="52"/>
          <w:szCs w:val="52"/>
          <w:lang w:val="en-GB"/>
        </w:rPr>
      </w:pPr>
      <w:r w:rsidRPr="002756AE">
        <w:rPr>
          <w:b/>
          <w:bCs/>
          <w:color w:val="DF028D"/>
          <w:sz w:val="52"/>
          <w:szCs w:val="52"/>
          <w:lang w:val="en-GB"/>
        </w:rPr>
        <w:t xml:space="preserve"> </w:t>
      </w:r>
      <w:r w:rsidR="004A4800" w:rsidRPr="002756AE">
        <w:rPr>
          <w:b/>
          <w:bCs/>
          <w:color w:val="DF028D"/>
          <w:sz w:val="52"/>
          <w:szCs w:val="52"/>
          <w:lang w:val="en-GB"/>
        </w:rPr>
        <w:t xml:space="preserve"> </w:t>
      </w:r>
      <w:r w:rsidR="00606847" w:rsidRPr="002756AE">
        <w:rPr>
          <w:b/>
          <w:bCs/>
          <w:color w:val="DF028D"/>
          <w:sz w:val="52"/>
          <w:szCs w:val="52"/>
          <w:lang w:val="en-GB"/>
        </w:rPr>
        <w:t>8</w:t>
      </w:r>
      <w:r w:rsidR="00252ECF" w:rsidRPr="002756AE">
        <w:rPr>
          <w:b/>
          <w:bCs/>
          <w:color w:val="DF028D"/>
          <w:sz w:val="52"/>
          <w:szCs w:val="52"/>
          <w:lang w:val="en-GB"/>
        </w:rPr>
        <w:t>0</w:t>
      </w:r>
      <w:r w:rsidR="00BC2E24" w:rsidRPr="002756AE">
        <w:rPr>
          <w:b/>
          <w:bCs/>
          <w:color w:val="DF028D"/>
          <w:sz w:val="52"/>
          <w:szCs w:val="52"/>
          <w:lang w:val="en-GB"/>
        </w:rPr>
        <w:t>%</w:t>
      </w:r>
      <w:r w:rsidR="00BC2E24" w:rsidRPr="002756AE">
        <w:rPr>
          <w:b/>
          <w:bCs/>
          <w:color w:val="DF028D"/>
          <w:sz w:val="52"/>
          <w:szCs w:val="52"/>
          <w:lang w:val="en-GB"/>
        </w:rPr>
        <w:tab/>
      </w:r>
      <w:r w:rsidR="00BC2E24" w:rsidRPr="002756AE">
        <w:rPr>
          <w:b/>
          <w:bCs/>
          <w:color w:val="DF028D"/>
          <w:sz w:val="52"/>
          <w:szCs w:val="52"/>
          <w:lang w:val="en-GB"/>
        </w:rPr>
        <w:tab/>
      </w:r>
      <w:r w:rsidR="00BC2E24" w:rsidRPr="002756AE">
        <w:rPr>
          <w:b/>
          <w:bCs/>
          <w:color w:val="DF028D"/>
          <w:sz w:val="52"/>
          <w:szCs w:val="52"/>
          <w:lang w:val="en-GB"/>
        </w:rPr>
        <w:tab/>
      </w:r>
      <w:r w:rsidR="004A4800" w:rsidRPr="002756AE">
        <w:rPr>
          <w:b/>
          <w:bCs/>
          <w:color w:val="DF028D"/>
          <w:sz w:val="52"/>
          <w:szCs w:val="52"/>
          <w:lang w:val="en-GB"/>
        </w:rPr>
        <w:t xml:space="preserve"> </w:t>
      </w:r>
      <w:r w:rsidR="00252ECF" w:rsidRPr="002756AE">
        <w:rPr>
          <w:b/>
          <w:bCs/>
          <w:color w:val="3C289B"/>
          <w:sz w:val="52"/>
          <w:szCs w:val="52"/>
          <w:lang w:val="en-GB"/>
        </w:rPr>
        <w:t>89.1</w:t>
      </w:r>
      <w:r w:rsidR="00BC2E24" w:rsidRPr="002756AE">
        <w:rPr>
          <w:b/>
          <w:bCs/>
          <w:color w:val="3C289B"/>
          <w:sz w:val="52"/>
          <w:szCs w:val="52"/>
          <w:lang w:val="en-GB"/>
        </w:rPr>
        <w:t>%</w:t>
      </w:r>
    </w:p>
    <w:p w14:paraId="0B3D35EB" w14:textId="77777777" w:rsidR="00A0173A" w:rsidRPr="002756AE" w:rsidRDefault="00A0173A" w:rsidP="00B23717">
      <w:pPr>
        <w:pStyle w:val="Default"/>
        <w:jc w:val="both"/>
        <w:rPr>
          <w:sz w:val="22"/>
          <w:szCs w:val="22"/>
          <w:lang w:val="en-GB"/>
        </w:rPr>
      </w:pPr>
    </w:p>
    <w:p w14:paraId="26E74E22" w14:textId="7163583E" w:rsidR="00CD50FB" w:rsidRPr="002756AE" w:rsidRDefault="00281C35" w:rsidP="00B23717">
      <w:pPr>
        <w:pStyle w:val="Default"/>
        <w:jc w:val="both"/>
        <w:rPr>
          <w:sz w:val="22"/>
          <w:szCs w:val="22"/>
          <w:lang w:val="en-GB"/>
        </w:rPr>
      </w:pPr>
      <w:r w:rsidRPr="002756AE">
        <w:rPr>
          <w:sz w:val="22"/>
          <w:szCs w:val="22"/>
          <w:lang w:val="en-GB"/>
        </w:rPr>
        <w:t>There are, however, proportionally more females to males in the higher pay ranges:</w:t>
      </w:r>
    </w:p>
    <w:p w14:paraId="17F4884F" w14:textId="72BCA6EA" w:rsidR="00CD50FB" w:rsidRPr="002756AE" w:rsidRDefault="00CD50FB" w:rsidP="00B23717">
      <w:pPr>
        <w:pStyle w:val="Default"/>
        <w:jc w:val="both"/>
        <w:rPr>
          <w:sz w:val="22"/>
          <w:szCs w:val="22"/>
          <w:lang w:val="en-GB"/>
        </w:rPr>
      </w:pPr>
    </w:p>
    <w:p w14:paraId="4A5C5013" w14:textId="77777777" w:rsidR="00BC2E24" w:rsidRPr="002756AE" w:rsidRDefault="00BC2E24" w:rsidP="00B23717">
      <w:pPr>
        <w:pStyle w:val="Default"/>
        <w:jc w:val="both"/>
        <w:rPr>
          <w:sz w:val="22"/>
          <w:szCs w:val="22"/>
          <w:lang w:val="en-GB"/>
        </w:rPr>
      </w:pPr>
    </w:p>
    <w:p w14:paraId="64581D41" w14:textId="0B6AA5C7" w:rsidR="001A65F3" w:rsidRPr="002756AE" w:rsidRDefault="001A65F3" w:rsidP="00B23717">
      <w:pPr>
        <w:pStyle w:val="Default"/>
        <w:jc w:val="both"/>
        <w:rPr>
          <w:b/>
          <w:bCs/>
          <w:sz w:val="28"/>
          <w:szCs w:val="28"/>
          <w:lang w:val="en-GB"/>
        </w:rPr>
      </w:pPr>
      <w:r w:rsidRPr="002756AE">
        <w:rPr>
          <w:b/>
          <w:bCs/>
          <w:color w:val="3C289B"/>
          <w:sz w:val="28"/>
          <w:szCs w:val="28"/>
          <w:lang w:val="en-GB"/>
        </w:rPr>
        <w:t xml:space="preserve">Percentage of </w:t>
      </w:r>
      <w:r w:rsidR="00BC2E24" w:rsidRPr="002756AE">
        <w:rPr>
          <w:b/>
          <w:bCs/>
          <w:color w:val="3C289B"/>
          <w:sz w:val="28"/>
          <w:szCs w:val="28"/>
          <w:lang w:val="en-GB"/>
        </w:rPr>
        <w:t xml:space="preserve">Female/Male </w:t>
      </w:r>
      <w:r w:rsidRPr="002756AE">
        <w:rPr>
          <w:b/>
          <w:bCs/>
          <w:color w:val="3C289B"/>
          <w:sz w:val="28"/>
          <w:szCs w:val="28"/>
          <w:lang w:val="en-GB"/>
        </w:rPr>
        <w:t>in each Hourly Pay Quartile</w:t>
      </w:r>
    </w:p>
    <w:p w14:paraId="48370695" w14:textId="77777777" w:rsidR="00FD128A" w:rsidRPr="002756AE" w:rsidRDefault="00FD128A" w:rsidP="00B23717">
      <w:pPr>
        <w:pStyle w:val="Default"/>
        <w:jc w:val="both"/>
        <w:rPr>
          <w:sz w:val="22"/>
          <w:szCs w:val="22"/>
          <w:lang w:val="en-GB"/>
        </w:rPr>
      </w:pPr>
    </w:p>
    <w:p w14:paraId="60B1E6FB" w14:textId="6D1898A0" w:rsidR="00CD50FB" w:rsidRPr="002756AE" w:rsidRDefault="00CD50FB" w:rsidP="00B23717">
      <w:pPr>
        <w:pStyle w:val="Default"/>
        <w:ind w:left="720" w:firstLine="720"/>
        <w:jc w:val="both"/>
        <w:rPr>
          <w:sz w:val="22"/>
          <w:szCs w:val="22"/>
          <w:lang w:val="en-GB"/>
        </w:rPr>
      </w:pPr>
      <w:r w:rsidRPr="002756AE">
        <w:rPr>
          <w:noProof/>
          <w:sz w:val="22"/>
          <w:szCs w:val="22"/>
          <w:lang w:val="en-GB"/>
        </w:rPr>
        <mc:AlternateContent>
          <mc:Choice Requires="wps">
            <w:drawing>
              <wp:anchor distT="0" distB="0" distL="114300" distR="114300" simplePos="0" relativeHeight="251659264" behindDoc="0" locked="0" layoutInCell="1" allowOverlap="1" wp14:anchorId="0CBAA837" wp14:editId="50A729EB">
                <wp:simplePos x="0" y="0"/>
                <wp:positionH relativeFrom="margin">
                  <wp:posOffset>2521429</wp:posOffset>
                </wp:positionH>
                <wp:positionV relativeFrom="paragraph">
                  <wp:posOffset>99600</wp:posOffset>
                </wp:positionV>
                <wp:extent cx="0" cy="523875"/>
                <wp:effectExtent l="0" t="0" r="38100" b="28575"/>
                <wp:wrapNone/>
                <wp:docPr id="1" name="Straight Connector 1"/>
                <wp:cNvGraphicFramePr/>
                <a:graphic xmlns:a="http://schemas.openxmlformats.org/drawingml/2006/main">
                  <a:graphicData uri="http://schemas.microsoft.com/office/word/2010/wordprocessingShape">
                    <wps:wsp>
                      <wps:cNvCnPr/>
                      <wps:spPr>
                        <a:xfrm>
                          <a:off x="0" y="0"/>
                          <a:ext cx="0" cy="523875"/>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3FC063"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98.55pt,7.85pt" to="198.55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" strokecolor="#002060" strokeweight="1.5pt">
                <v:stroke joinstyle="miter"/>
                <w10:wrap anchorx="margin"/>
              </v:line>
            </w:pict>
          </mc:Fallback>
        </mc:AlternateContent>
      </w:r>
      <w:r w:rsidRPr="002756AE">
        <w:rPr>
          <w:sz w:val="22"/>
          <w:szCs w:val="22"/>
          <w:lang w:val="en-GB"/>
        </w:rPr>
        <w:t xml:space="preserve">   Upper Quartile</w:t>
      </w:r>
      <w:r w:rsidRPr="002756AE">
        <w:rPr>
          <w:sz w:val="22"/>
          <w:szCs w:val="22"/>
          <w:lang w:val="en-GB"/>
        </w:rPr>
        <w:tab/>
        <w:t xml:space="preserve"> </w:t>
      </w:r>
      <w:r w:rsidRPr="002756AE">
        <w:rPr>
          <w:sz w:val="22"/>
          <w:szCs w:val="22"/>
          <w:lang w:val="en-GB"/>
        </w:rPr>
        <w:tab/>
      </w:r>
      <w:r w:rsidRPr="002756AE">
        <w:rPr>
          <w:sz w:val="22"/>
          <w:szCs w:val="22"/>
          <w:lang w:val="en-GB"/>
        </w:rPr>
        <w:tab/>
      </w:r>
      <w:r w:rsidR="00FD128A" w:rsidRPr="002756AE">
        <w:rPr>
          <w:sz w:val="22"/>
          <w:szCs w:val="22"/>
          <w:lang w:val="en-GB"/>
        </w:rPr>
        <w:tab/>
      </w:r>
      <w:r w:rsidRPr="002756AE">
        <w:rPr>
          <w:sz w:val="22"/>
          <w:szCs w:val="22"/>
          <w:lang w:val="en-GB"/>
        </w:rPr>
        <w:t>Upper Middle Quartile</w:t>
      </w:r>
    </w:p>
    <w:p w14:paraId="13B74776" w14:textId="66F9CDE7" w:rsidR="00CD50FB" w:rsidRPr="002756AE" w:rsidRDefault="004A428F" w:rsidP="00B23717">
      <w:pPr>
        <w:pStyle w:val="Default"/>
        <w:jc w:val="both"/>
        <w:rPr>
          <w:b/>
          <w:bCs/>
          <w:color w:val="002060"/>
          <w:sz w:val="52"/>
          <w:szCs w:val="52"/>
          <w:lang w:val="en-GB"/>
        </w:rPr>
      </w:pPr>
      <w:r w:rsidRPr="002756AE">
        <w:rPr>
          <w:b/>
          <w:bCs/>
          <w:color w:val="DF028D"/>
          <w:sz w:val="52"/>
          <w:szCs w:val="52"/>
          <w:lang w:val="en-GB"/>
        </w:rPr>
        <w:t>27.4</w:t>
      </w:r>
      <w:r w:rsidR="00CD50FB" w:rsidRPr="002756AE">
        <w:rPr>
          <w:b/>
          <w:bCs/>
          <w:color w:val="DF028D"/>
          <w:sz w:val="52"/>
          <w:szCs w:val="52"/>
          <w:lang w:val="en-GB"/>
        </w:rPr>
        <w:t>%</w:t>
      </w:r>
      <w:r w:rsidR="00CD50FB" w:rsidRPr="002756AE">
        <w:rPr>
          <w:b/>
          <w:bCs/>
          <w:sz w:val="52"/>
          <w:szCs w:val="52"/>
          <w:lang w:val="en-GB"/>
        </w:rPr>
        <w:t xml:space="preserve"> / </w:t>
      </w:r>
      <w:r w:rsidRPr="002756AE">
        <w:rPr>
          <w:b/>
          <w:bCs/>
          <w:color w:val="3C289B"/>
          <w:sz w:val="52"/>
          <w:szCs w:val="52"/>
          <w:lang w:val="en-GB"/>
        </w:rPr>
        <w:t>72.6</w:t>
      </w:r>
      <w:r w:rsidR="00CD50FB" w:rsidRPr="002756AE">
        <w:rPr>
          <w:b/>
          <w:bCs/>
          <w:color w:val="3C289B"/>
          <w:sz w:val="52"/>
          <w:szCs w:val="52"/>
          <w:lang w:val="en-GB"/>
        </w:rPr>
        <w:t>%</w:t>
      </w:r>
      <w:r w:rsidR="00CD50FB" w:rsidRPr="002756AE">
        <w:rPr>
          <w:b/>
          <w:bCs/>
          <w:color w:val="002060"/>
          <w:sz w:val="52"/>
          <w:szCs w:val="52"/>
          <w:lang w:val="en-GB"/>
        </w:rPr>
        <w:t xml:space="preserve">  </w:t>
      </w:r>
      <w:r w:rsidR="00CD50FB" w:rsidRPr="002756AE">
        <w:rPr>
          <w:b/>
          <w:bCs/>
          <w:sz w:val="52"/>
          <w:szCs w:val="52"/>
          <w:lang w:val="en-GB"/>
        </w:rPr>
        <w:t xml:space="preserve">      </w:t>
      </w:r>
      <w:r w:rsidR="00EC2AA6" w:rsidRPr="002756AE">
        <w:rPr>
          <w:b/>
          <w:bCs/>
          <w:color w:val="DF028D"/>
          <w:sz w:val="52"/>
          <w:szCs w:val="52"/>
          <w:lang w:val="en-GB"/>
        </w:rPr>
        <w:t>29</w:t>
      </w:r>
      <w:r w:rsidR="00CD50FB" w:rsidRPr="002756AE">
        <w:rPr>
          <w:b/>
          <w:bCs/>
          <w:color w:val="DF028D"/>
          <w:sz w:val="52"/>
          <w:szCs w:val="52"/>
          <w:lang w:val="en-GB"/>
        </w:rPr>
        <w:t xml:space="preserve">% </w:t>
      </w:r>
      <w:r w:rsidR="00CD50FB" w:rsidRPr="002756AE">
        <w:rPr>
          <w:b/>
          <w:bCs/>
          <w:sz w:val="52"/>
          <w:szCs w:val="52"/>
          <w:lang w:val="en-GB"/>
        </w:rPr>
        <w:t xml:space="preserve">/ </w:t>
      </w:r>
      <w:r w:rsidRPr="002756AE">
        <w:rPr>
          <w:b/>
          <w:bCs/>
          <w:color w:val="3C289B"/>
          <w:sz w:val="52"/>
          <w:szCs w:val="52"/>
          <w:lang w:val="en-GB"/>
        </w:rPr>
        <w:t>71</w:t>
      </w:r>
      <w:r w:rsidR="00CD50FB" w:rsidRPr="002756AE">
        <w:rPr>
          <w:b/>
          <w:bCs/>
          <w:color w:val="3C289B"/>
          <w:sz w:val="52"/>
          <w:szCs w:val="52"/>
          <w:lang w:val="en-GB"/>
        </w:rPr>
        <w:t>%</w:t>
      </w:r>
    </w:p>
    <w:p w14:paraId="3F038C79" w14:textId="77777777" w:rsidR="00CD50FB" w:rsidRPr="002756AE" w:rsidRDefault="00CD50FB" w:rsidP="00B23717">
      <w:pPr>
        <w:pStyle w:val="Default"/>
        <w:jc w:val="both"/>
        <w:rPr>
          <w:b/>
          <w:bCs/>
          <w:color w:val="002060"/>
          <w:sz w:val="52"/>
          <w:szCs w:val="52"/>
          <w:lang w:val="en-GB"/>
        </w:rPr>
      </w:pPr>
    </w:p>
    <w:p w14:paraId="0BA8F589" w14:textId="32FEA1A6" w:rsidR="00CD50FB" w:rsidRPr="002756AE" w:rsidRDefault="00CD50FB" w:rsidP="00B23717">
      <w:pPr>
        <w:pStyle w:val="Default"/>
        <w:ind w:firstLine="720"/>
        <w:jc w:val="both"/>
        <w:rPr>
          <w:sz w:val="22"/>
          <w:szCs w:val="22"/>
          <w:lang w:val="en-GB"/>
        </w:rPr>
      </w:pPr>
      <w:r w:rsidRPr="002756AE">
        <w:rPr>
          <w:noProof/>
          <w:sz w:val="22"/>
          <w:szCs w:val="22"/>
          <w:lang w:val="en-GB"/>
        </w:rPr>
        <mc:AlternateContent>
          <mc:Choice Requires="wps">
            <w:drawing>
              <wp:anchor distT="0" distB="0" distL="114300" distR="114300" simplePos="0" relativeHeight="251661312" behindDoc="0" locked="0" layoutInCell="1" allowOverlap="1" wp14:anchorId="1670D7AC" wp14:editId="63F00748">
                <wp:simplePos x="0" y="0"/>
                <wp:positionH relativeFrom="margin">
                  <wp:posOffset>2538682</wp:posOffset>
                </wp:positionH>
                <wp:positionV relativeFrom="paragraph">
                  <wp:posOffset>12065</wp:posOffset>
                </wp:positionV>
                <wp:extent cx="0" cy="523875"/>
                <wp:effectExtent l="0" t="0" r="38100" b="28575"/>
                <wp:wrapNone/>
                <wp:docPr id="2" name="Straight Connector 2"/>
                <wp:cNvGraphicFramePr/>
                <a:graphic xmlns:a="http://schemas.openxmlformats.org/drawingml/2006/main">
                  <a:graphicData uri="http://schemas.microsoft.com/office/word/2010/wordprocessingShape">
                    <wps:wsp>
                      <wps:cNvCnPr/>
                      <wps:spPr>
                        <a:xfrm>
                          <a:off x="0" y="0"/>
                          <a:ext cx="0" cy="523875"/>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681715" id="Straight Connector 2"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99.9pt,.95pt" to="199.9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" strokecolor="#002060" strokeweight="1.5pt">
                <v:stroke joinstyle="miter"/>
                <w10:wrap anchorx="margin"/>
              </v:line>
            </w:pict>
          </mc:Fallback>
        </mc:AlternateContent>
      </w:r>
      <w:r w:rsidRPr="002756AE">
        <w:rPr>
          <w:sz w:val="22"/>
          <w:szCs w:val="22"/>
          <w:lang w:val="en-GB"/>
        </w:rPr>
        <w:t xml:space="preserve">                Lower Quartile</w:t>
      </w:r>
      <w:r w:rsidRPr="002756AE">
        <w:rPr>
          <w:sz w:val="22"/>
          <w:szCs w:val="22"/>
          <w:lang w:val="en-GB"/>
        </w:rPr>
        <w:tab/>
      </w:r>
      <w:r w:rsidRPr="002756AE">
        <w:rPr>
          <w:sz w:val="22"/>
          <w:szCs w:val="22"/>
          <w:lang w:val="en-GB"/>
        </w:rPr>
        <w:tab/>
      </w:r>
      <w:r w:rsidR="00874CD7" w:rsidRPr="002756AE">
        <w:rPr>
          <w:sz w:val="22"/>
          <w:szCs w:val="22"/>
          <w:lang w:val="en-GB"/>
        </w:rPr>
        <w:t xml:space="preserve">      </w:t>
      </w:r>
      <w:r w:rsidR="00FD128A" w:rsidRPr="002756AE">
        <w:rPr>
          <w:sz w:val="22"/>
          <w:szCs w:val="22"/>
          <w:lang w:val="en-GB"/>
        </w:rPr>
        <w:tab/>
      </w:r>
      <w:r w:rsidR="00FD128A" w:rsidRPr="002756AE">
        <w:rPr>
          <w:sz w:val="22"/>
          <w:szCs w:val="22"/>
          <w:lang w:val="en-GB"/>
        </w:rPr>
        <w:tab/>
      </w:r>
      <w:r w:rsidRPr="002756AE">
        <w:rPr>
          <w:sz w:val="22"/>
          <w:szCs w:val="22"/>
          <w:lang w:val="en-GB"/>
        </w:rPr>
        <w:t>Lower Middle Quartile</w:t>
      </w:r>
    </w:p>
    <w:p w14:paraId="6BE04981" w14:textId="1CB1DE8B" w:rsidR="00CD50FB" w:rsidRPr="002756AE" w:rsidRDefault="00EC2AA6" w:rsidP="00B23717">
      <w:pPr>
        <w:pStyle w:val="Default"/>
        <w:jc w:val="both"/>
        <w:rPr>
          <w:b/>
          <w:bCs/>
          <w:color w:val="002060"/>
          <w:sz w:val="52"/>
          <w:szCs w:val="52"/>
          <w:lang w:val="en-GB"/>
        </w:rPr>
      </w:pPr>
      <w:r w:rsidRPr="002756AE">
        <w:rPr>
          <w:b/>
          <w:bCs/>
          <w:color w:val="DF028D"/>
          <w:sz w:val="52"/>
          <w:szCs w:val="52"/>
          <w:lang w:val="en-GB"/>
        </w:rPr>
        <w:t>16.1</w:t>
      </w:r>
      <w:r w:rsidR="00CD50FB" w:rsidRPr="002756AE">
        <w:rPr>
          <w:b/>
          <w:bCs/>
          <w:color w:val="DF028D"/>
          <w:sz w:val="52"/>
          <w:szCs w:val="52"/>
          <w:lang w:val="en-GB"/>
        </w:rPr>
        <w:t xml:space="preserve">% </w:t>
      </w:r>
      <w:r w:rsidR="00CD50FB" w:rsidRPr="002756AE">
        <w:rPr>
          <w:b/>
          <w:bCs/>
          <w:sz w:val="52"/>
          <w:szCs w:val="52"/>
          <w:lang w:val="en-GB"/>
        </w:rPr>
        <w:t xml:space="preserve">/ </w:t>
      </w:r>
      <w:r w:rsidR="009061BD" w:rsidRPr="002756AE">
        <w:rPr>
          <w:b/>
          <w:bCs/>
          <w:color w:val="3C289B"/>
          <w:sz w:val="52"/>
          <w:szCs w:val="52"/>
          <w:lang w:val="en-GB"/>
        </w:rPr>
        <w:t>83.9</w:t>
      </w:r>
      <w:r w:rsidR="00CD50FB" w:rsidRPr="002756AE">
        <w:rPr>
          <w:b/>
          <w:bCs/>
          <w:color w:val="3C289B"/>
          <w:sz w:val="52"/>
          <w:szCs w:val="52"/>
          <w:lang w:val="en-GB"/>
        </w:rPr>
        <w:t xml:space="preserve">%  </w:t>
      </w:r>
      <w:r w:rsidR="00CD50FB" w:rsidRPr="002756AE">
        <w:rPr>
          <w:b/>
          <w:bCs/>
          <w:sz w:val="52"/>
          <w:szCs w:val="52"/>
          <w:lang w:val="en-GB"/>
        </w:rPr>
        <w:t xml:space="preserve">      </w:t>
      </w:r>
      <w:r w:rsidR="009061BD" w:rsidRPr="002756AE">
        <w:rPr>
          <w:b/>
          <w:bCs/>
          <w:color w:val="DF028D"/>
          <w:sz w:val="52"/>
          <w:szCs w:val="52"/>
          <w:lang w:val="en-GB"/>
        </w:rPr>
        <w:t>21</w:t>
      </w:r>
      <w:r w:rsidR="00CD50FB" w:rsidRPr="002756AE">
        <w:rPr>
          <w:b/>
          <w:bCs/>
          <w:color w:val="DF028D"/>
          <w:sz w:val="52"/>
          <w:szCs w:val="52"/>
          <w:lang w:val="en-GB"/>
        </w:rPr>
        <w:t xml:space="preserve">% </w:t>
      </w:r>
      <w:r w:rsidR="00CD50FB" w:rsidRPr="002756AE">
        <w:rPr>
          <w:b/>
          <w:bCs/>
          <w:sz w:val="52"/>
          <w:szCs w:val="52"/>
          <w:lang w:val="en-GB"/>
        </w:rPr>
        <w:t xml:space="preserve">/ </w:t>
      </w:r>
      <w:r w:rsidR="00EF108A" w:rsidRPr="002756AE">
        <w:rPr>
          <w:b/>
          <w:bCs/>
          <w:color w:val="3C289B"/>
          <w:sz w:val="52"/>
          <w:szCs w:val="52"/>
          <w:lang w:val="en-GB"/>
        </w:rPr>
        <w:t>7</w:t>
      </w:r>
      <w:r w:rsidR="009061BD" w:rsidRPr="002756AE">
        <w:rPr>
          <w:b/>
          <w:bCs/>
          <w:color w:val="3C289B"/>
          <w:sz w:val="52"/>
          <w:szCs w:val="52"/>
          <w:lang w:val="en-GB"/>
        </w:rPr>
        <w:t>9</w:t>
      </w:r>
      <w:r w:rsidR="00CD50FB" w:rsidRPr="002756AE">
        <w:rPr>
          <w:b/>
          <w:bCs/>
          <w:color w:val="3C289B"/>
          <w:sz w:val="52"/>
          <w:szCs w:val="52"/>
          <w:lang w:val="en-GB"/>
        </w:rPr>
        <w:t>%</w:t>
      </w:r>
    </w:p>
    <w:p w14:paraId="37B2C098" w14:textId="2273BF84" w:rsidR="00B813DD" w:rsidRPr="002756AE" w:rsidRDefault="00B813DD" w:rsidP="00B23717">
      <w:pPr>
        <w:pStyle w:val="Default"/>
        <w:jc w:val="both"/>
        <w:rPr>
          <w:sz w:val="22"/>
          <w:szCs w:val="22"/>
          <w:lang w:val="en-GB"/>
        </w:rPr>
      </w:pPr>
    </w:p>
    <w:p w14:paraId="6AC456EE" w14:textId="77777777" w:rsidR="00FA32F7" w:rsidRPr="002756AE" w:rsidRDefault="00FA32F7" w:rsidP="00B23717">
      <w:pPr>
        <w:jc w:val="both"/>
        <w:rPr>
          <w:rFonts w:ascii="Arial" w:hAnsi="Arial" w:cs="Arial"/>
          <w:lang w:val="en-GB"/>
        </w:rPr>
      </w:pPr>
    </w:p>
    <w:p w14:paraId="7D6A0736" w14:textId="4D8805A1" w:rsidR="005137E9" w:rsidRPr="009C138D" w:rsidRDefault="00B23717" w:rsidP="00B23717">
      <w:pPr>
        <w:jc w:val="both"/>
        <w:rPr>
          <w:rFonts w:ascii="Arial" w:hAnsi="Arial" w:cs="Arial"/>
          <w:lang w:val="en-GB"/>
        </w:rPr>
      </w:pPr>
      <w:r w:rsidRPr="009C138D">
        <w:rPr>
          <w:rFonts w:ascii="Arial" w:hAnsi="Arial" w:cs="Arial"/>
          <w:lang w:val="en-GB"/>
        </w:rPr>
        <w:t>We’re committed</w:t>
      </w:r>
      <w:r w:rsidR="00BB4712" w:rsidRPr="009C138D">
        <w:rPr>
          <w:rFonts w:ascii="Arial" w:hAnsi="Arial" w:cs="Arial"/>
          <w:lang w:val="en-GB"/>
        </w:rPr>
        <w:t xml:space="preserve"> to proactively addressing our gender pay </w:t>
      </w:r>
      <w:r w:rsidR="003C60B2">
        <w:rPr>
          <w:rFonts w:ascii="Arial" w:hAnsi="Arial" w:cs="Arial"/>
          <w:lang w:val="en-GB"/>
        </w:rPr>
        <w:t xml:space="preserve">and bonus </w:t>
      </w:r>
      <w:r w:rsidR="00BB4712" w:rsidRPr="009C138D">
        <w:rPr>
          <w:rFonts w:ascii="Arial" w:hAnsi="Arial" w:cs="Arial"/>
          <w:lang w:val="en-GB"/>
        </w:rPr>
        <w:t xml:space="preserve">gap. </w:t>
      </w:r>
      <w:r w:rsidR="002756AE" w:rsidRPr="002756AE">
        <w:rPr>
          <w:rFonts w:ascii="Arial" w:hAnsi="Arial" w:cs="Arial"/>
          <w:lang w:val="en-GB"/>
        </w:rPr>
        <w:t xml:space="preserve">We will protect the progress we have made by keeping diversity, </w:t>
      </w:r>
      <w:r w:rsidR="00E873B2">
        <w:rPr>
          <w:rFonts w:ascii="Arial" w:hAnsi="Arial" w:cs="Arial"/>
          <w:lang w:val="en-GB"/>
        </w:rPr>
        <w:t>equity</w:t>
      </w:r>
      <w:r w:rsidR="008820DE">
        <w:rPr>
          <w:rFonts w:ascii="Arial" w:hAnsi="Arial" w:cs="Arial"/>
          <w:lang w:val="en-GB"/>
        </w:rPr>
        <w:t>, and</w:t>
      </w:r>
      <w:r w:rsidR="002756AE" w:rsidRPr="002756AE">
        <w:rPr>
          <w:rFonts w:ascii="Arial" w:hAnsi="Arial" w:cs="Arial"/>
          <w:lang w:val="en-GB"/>
        </w:rPr>
        <w:t xml:space="preserve"> </w:t>
      </w:r>
      <w:r w:rsidR="00E873B2" w:rsidRPr="002756AE">
        <w:rPr>
          <w:rFonts w:ascii="Arial" w:hAnsi="Arial" w:cs="Arial"/>
          <w:lang w:val="en-GB"/>
        </w:rPr>
        <w:t xml:space="preserve">inclusion </w:t>
      </w:r>
      <w:r w:rsidR="002756AE" w:rsidRPr="002756AE">
        <w:rPr>
          <w:rFonts w:ascii="Arial" w:hAnsi="Arial" w:cs="Arial"/>
          <w:lang w:val="en-GB"/>
        </w:rPr>
        <w:t xml:space="preserve">at the heart of </w:t>
      </w:r>
      <w:r w:rsidR="009C138D">
        <w:rPr>
          <w:rFonts w:ascii="Arial" w:hAnsi="Arial" w:cs="Arial"/>
          <w:lang w:val="en-GB"/>
        </w:rPr>
        <w:t xml:space="preserve">World Courier </w:t>
      </w:r>
      <w:r w:rsidR="002756AE" w:rsidRPr="002756AE">
        <w:rPr>
          <w:rFonts w:ascii="Arial" w:hAnsi="Arial" w:cs="Arial"/>
          <w:lang w:val="en-GB"/>
        </w:rPr>
        <w:t xml:space="preserve">as it evolves. </w:t>
      </w:r>
      <w:r w:rsidR="00BB4712" w:rsidRPr="009C138D">
        <w:rPr>
          <w:rFonts w:ascii="Arial" w:hAnsi="Arial" w:cs="Arial"/>
          <w:lang w:val="en-GB"/>
        </w:rPr>
        <w:t xml:space="preserve">To support </w:t>
      </w:r>
      <w:r w:rsidR="002756AE" w:rsidRPr="002756AE">
        <w:rPr>
          <w:rFonts w:ascii="Arial" w:hAnsi="Arial" w:cs="Arial"/>
          <w:lang w:val="en-GB"/>
        </w:rPr>
        <w:t>this,</w:t>
      </w:r>
      <w:r w:rsidR="00BB4712" w:rsidRPr="009C138D">
        <w:rPr>
          <w:rFonts w:ascii="Arial" w:hAnsi="Arial" w:cs="Arial"/>
          <w:lang w:val="en-GB"/>
        </w:rPr>
        <w:t xml:space="preserve"> we’</w:t>
      </w:r>
      <w:r w:rsidR="002756AE">
        <w:rPr>
          <w:rFonts w:ascii="Arial" w:hAnsi="Arial" w:cs="Arial"/>
          <w:lang w:val="en-GB"/>
        </w:rPr>
        <w:t xml:space="preserve">re constantly </w:t>
      </w:r>
      <w:r w:rsidR="00BB4712" w:rsidRPr="009C138D">
        <w:rPr>
          <w:rFonts w:ascii="Arial" w:hAnsi="Arial" w:cs="Arial"/>
          <w:lang w:val="en-GB"/>
        </w:rPr>
        <w:t>reviewing our recruitment processes and providing career development opportunities for our colleagues. We regularly benchmark against the external market, meaning our salaries and benefits are competitive compared those doing similar roles in other organisations.</w:t>
      </w:r>
      <w:r w:rsidR="009C138D">
        <w:rPr>
          <w:rFonts w:ascii="Arial" w:hAnsi="Arial" w:cs="Arial"/>
          <w:lang w:val="en-GB"/>
        </w:rPr>
        <w:t xml:space="preserve"> </w:t>
      </w:r>
    </w:p>
    <w:p w14:paraId="69B2B424" w14:textId="0C35AA44" w:rsidR="00A439EB" w:rsidRPr="002756AE" w:rsidRDefault="00754A41" w:rsidP="00B23717">
      <w:pPr>
        <w:jc w:val="both"/>
        <w:rPr>
          <w:rStyle w:val="Hyperlink"/>
          <w:rFonts w:ascii="Arial" w:hAnsi="Arial" w:cs="Arial"/>
          <w:lang w:val="en-GB"/>
        </w:rPr>
      </w:pPr>
      <w:r w:rsidRPr="002756AE">
        <w:rPr>
          <w:rFonts w:ascii="Arial" w:hAnsi="Arial" w:cs="Arial"/>
          <w:lang w:val="en-GB"/>
        </w:rPr>
        <w:t xml:space="preserve">For questions, </w:t>
      </w:r>
      <w:r w:rsidR="0070257D" w:rsidRPr="002756AE">
        <w:rPr>
          <w:rFonts w:ascii="Arial" w:hAnsi="Arial" w:cs="Arial"/>
          <w:lang w:val="en-GB"/>
        </w:rPr>
        <w:t xml:space="preserve">please contact </w:t>
      </w:r>
      <w:hyperlink r:id="rId9" w:history="1">
        <w:r w:rsidR="00B813DD" w:rsidRPr="002756AE">
          <w:rPr>
            <w:rStyle w:val="Hyperlink"/>
            <w:rFonts w:ascii="Arial" w:hAnsi="Arial" w:cs="Arial"/>
            <w:lang w:val="en-GB"/>
          </w:rPr>
          <w:t>corporateresponsibility@amerisourcebergen.com</w:t>
        </w:r>
      </w:hyperlink>
    </w:p>
    <w:p w14:paraId="33A3CB9B" w14:textId="35327565" w:rsidR="00FC6FF6" w:rsidRPr="002756AE" w:rsidRDefault="00FC6FF6" w:rsidP="00B23717">
      <w:pPr>
        <w:jc w:val="both"/>
        <w:rPr>
          <w:rFonts w:ascii="Arial" w:hAnsi="Arial" w:cs="Arial"/>
          <w:lang w:val="en-GB"/>
        </w:rPr>
      </w:pPr>
      <w:r w:rsidRPr="002756AE">
        <w:rPr>
          <w:rFonts w:ascii="Arial" w:hAnsi="Arial" w:cs="Arial"/>
          <w:lang w:val="en-GB"/>
        </w:rPr>
        <w:t>I confirm</w:t>
      </w:r>
      <w:r w:rsidR="006D523D" w:rsidRPr="002756AE">
        <w:rPr>
          <w:rFonts w:ascii="Arial" w:hAnsi="Arial" w:cs="Arial"/>
          <w:lang w:val="en-GB"/>
        </w:rPr>
        <w:t xml:space="preserve"> that the data reported is accurate and meets the requirements under</w:t>
      </w:r>
      <w:r w:rsidR="00964B9A" w:rsidRPr="002756AE">
        <w:rPr>
          <w:rFonts w:ascii="Arial" w:hAnsi="Arial" w:cs="Arial"/>
          <w:lang w:val="en-GB"/>
        </w:rPr>
        <w:t xml:space="preserve"> the Equality Act 2010 (Gender Pay Gap Information) Regulations 2017.</w:t>
      </w:r>
    </w:p>
    <w:p w14:paraId="6F8312D5" w14:textId="77777777" w:rsidR="00BB4D84" w:rsidRDefault="00BB4D84" w:rsidP="00807D28">
      <w:pPr>
        <w:rPr>
          <w:rStyle w:val="Hyperlink"/>
          <w:rFonts w:ascii="Arial" w:hAnsi="Arial" w:cs="Arial"/>
          <w:lang w:val="en-GB"/>
        </w:rPr>
      </w:pPr>
    </w:p>
    <w:p w14:paraId="3DDAE4E6" w14:textId="6042F7CE" w:rsidR="00BB4D84" w:rsidRPr="002756AE" w:rsidRDefault="00BA6885" w:rsidP="00807D28">
      <w:pPr>
        <w:rPr>
          <w:rStyle w:val="Hyperlink"/>
          <w:rFonts w:ascii="Arial" w:hAnsi="Arial" w:cs="Arial"/>
          <w:lang w:val="en-GB"/>
        </w:rPr>
      </w:pPr>
      <w:r>
        <w:rPr>
          <w:noProof/>
          <w:color w:val="00539B"/>
          <w:lang w:eastAsia="en-GB"/>
        </w:rPr>
        <w:drawing>
          <wp:inline distT="0" distB="0" distL="0" distR="0" wp14:anchorId="3C718E0F" wp14:editId="558812B8">
            <wp:extent cx="895350" cy="4318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95350" cy="431800"/>
                    </a:xfrm>
                    <a:prstGeom prst="rect">
                      <a:avLst/>
                    </a:prstGeom>
                    <a:noFill/>
                    <a:ln>
                      <a:noFill/>
                    </a:ln>
                  </pic:spPr>
                </pic:pic>
              </a:graphicData>
            </a:graphic>
          </wp:inline>
        </w:drawing>
      </w:r>
    </w:p>
    <w:p w14:paraId="210CBB1B" w14:textId="77777777" w:rsidR="00BA6885" w:rsidRDefault="009061BD" w:rsidP="00807D28">
      <w:pPr>
        <w:rPr>
          <w:rStyle w:val="Hyperlink"/>
          <w:rFonts w:ascii="Arial" w:hAnsi="Arial" w:cs="Arial"/>
          <w:lang w:val="en-GB"/>
        </w:rPr>
      </w:pPr>
      <w:r w:rsidRPr="002756AE">
        <w:rPr>
          <w:rStyle w:val="Hyperlink"/>
          <w:rFonts w:ascii="Arial" w:hAnsi="Arial" w:cs="Arial"/>
          <w:lang w:val="en-GB"/>
        </w:rPr>
        <w:t>Simon Beaumont</w:t>
      </w:r>
    </w:p>
    <w:p w14:paraId="7B0C72C4" w14:textId="3FEA780F" w:rsidR="009061BD" w:rsidRPr="002756AE" w:rsidRDefault="006F3D55" w:rsidP="00807D28">
      <w:pPr>
        <w:rPr>
          <w:rStyle w:val="Hyperlink"/>
          <w:rFonts w:ascii="Arial" w:hAnsi="Arial" w:cs="Arial"/>
          <w:lang w:val="en-GB"/>
        </w:rPr>
      </w:pPr>
      <w:r w:rsidRPr="002756AE">
        <w:rPr>
          <w:rStyle w:val="Hyperlink"/>
          <w:rFonts w:ascii="Arial" w:hAnsi="Arial" w:cs="Arial"/>
          <w:lang w:val="en-GB"/>
        </w:rPr>
        <w:t>Managing Director, World Courier UK Limited</w:t>
      </w:r>
    </w:p>
    <w:p w14:paraId="7144CA4C" w14:textId="63FC1D63" w:rsidR="00964B9A" w:rsidRPr="002756AE" w:rsidRDefault="00964B9A" w:rsidP="00807D28">
      <w:pPr>
        <w:rPr>
          <w:rStyle w:val="Hyperlink"/>
          <w:rFonts w:ascii="Arial" w:hAnsi="Arial" w:cs="Arial"/>
          <w:lang w:val="en-GB"/>
        </w:rPr>
      </w:pPr>
    </w:p>
    <w:p w14:paraId="7819EEBA" w14:textId="0CE7961B" w:rsidR="00964B9A" w:rsidRPr="002756AE" w:rsidRDefault="00964B9A" w:rsidP="00807D28">
      <w:pPr>
        <w:rPr>
          <w:rFonts w:ascii="Arial" w:hAnsi="Arial" w:cs="Arial"/>
          <w:lang w:val="en-GB"/>
        </w:rPr>
      </w:pPr>
    </w:p>
    <w:sectPr w:rsidR="00964B9A" w:rsidRPr="00275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70AC9"/>
    <w:multiLevelType w:val="hybridMultilevel"/>
    <w:tmpl w:val="F25AF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7C028A"/>
    <w:multiLevelType w:val="hybridMultilevel"/>
    <w:tmpl w:val="7BBC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965420">
    <w:abstractNumId w:val="1"/>
  </w:num>
  <w:num w:numId="2" w16cid:durableId="158479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EB"/>
    <w:rsid w:val="0004659B"/>
    <w:rsid w:val="00061784"/>
    <w:rsid w:val="000674B2"/>
    <w:rsid w:val="000C4622"/>
    <w:rsid w:val="000D7686"/>
    <w:rsid w:val="00120CA3"/>
    <w:rsid w:val="001407F0"/>
    <w:rsid w:val="001A65F3"/>
    <w:rsid w:val="001E4D92"/>
    <w:rsid w:val="00205FE6"/>
    <w:rsid w:val="00206385"/>
    <w:rsid w:val="00225C28"/>
    <w:rsid w:val="00233FC5"/>
    <w:rsid w:val="00252ECF"/>
    <w:rsid w:val="00257429"/>
    <w:rsid w:val="00264CB8"/>
    <w:rsid w:val="00273834"/>
    <w:rsid w:val="002756AE"/>
    <w:rsid w:val="00281C35"/>
    <w:rsid w:val="00310E48"/>
    <w:rsid w:val="00327328"/>
    <w:rsid w:val="00337520"/>
    <w:rsid w:val="00370352"/>
    <w:rsid w:val="00370830"/>
    <w:rsid w:val="00376310"/>
    <w:rsid w:val="00385B37"/>
    <w:rsid w:val="003C60B2"/>
    <w:rsid w:val="003D1DCA"/>
    <w:rsid w:val="003D695C"/>
    <w:rsid w:val="00435C19"/>
    <w:rsid w:val="00446F05"/>
    <w:rsid w:val="004752E0"/>
    <w:rsid w:val="004A428F"/>
    <w:rsid w:val="004A4800"/>
    <w:rsid w:val="004F2AE2"/>
    <w:rsid w:val="005137E9"/>
    <w:rsid w:val="00515B5C"/>
    <w:rsid w:val="00531F04"/>
    <w:rsid w:val="005433B4"/>
    <w:rsid w:val="00543E09"/>
    <w:rsid w:val="005A1FDA"/>
    <w:rsid w:val="005A7795"/>
    <w:rsid w:val="005E373A"/>
    <w:rsid w:val="005F1DF3"/>
    <w:rsid w:val="00603248"/>
    <w:rsid w:val="00606847"/>
    <w:rsid w:val="00627AA3"/>
    <w:rsid w:val="0065009C"/>
    <w:rsid w:val="00654CA4"/>
    <w:rsid w:val="006912A7"/>
    <w:rsid w:val="00695A38"/>
    <w:rsid w:val="006A62AB"/>
    <w:rsid w:val="006D523D"/>
    <w:rsid w:val="006F3D55"/>
    <w:rsid w:val="0070257D"/>
    <w:rsid w:val="0070692C"/>
    <w:rsid w:val="00754A41"/>
    <w:rsid w:val="00774578"/>
    <w:rsid w:val="007A257C"/>
    <w:rsid w:val="007D0F10"/>
    <w:rsid w:val="007D23E4"/>
    <w:rsid w:val="007D4AE1"/>
    <w:rsid w:val="007F65F8"/>
    <w:rsid w:val="00807D28"/>
    <w:rsid w:val="00817F50"/>
    <w:rsid w:val="00820215"/>
    <w:rsid w:val="00874CD7"/>
    <w:rsid w:val="008820DE"/>
    <w:rsid w:val="008844B4"/>
    <w:rsid w:val="00896B86"/>
    <w:rsid w:val="008A1A6D"/>
    <w:rsid w:val="008D2E8A"/>
    <w:rsid w:val="00904E70"/>
    <w:rsid w:val="009061BD"/>
    <w:rsid w:val="00964B9A"/>
    <w:rsid w:val="009979CA"/>
    <w:rsid w:val="009C138D"/>
    <w:rsid w:val="009C2348"/>
    <w:rsid w:val="00A0173A"/>
    <w:rsid w:val="00A11C6E"/>
    <w:rsid w:val="00A439EB"/>
    <w:rsid w:val="00A56DC6"/>
    <w:rsid w:val="00A629A9"/>
    <w:rsid w:val="00A73B29"/>
    <w:rsid w:val="00A86C5F"/>
    <w:rsid w:val="00AD1887"/>
    <w:rsid w:val="00B23717"/>
    <w:rsid w:val="00B3457D"/>
    <w:rsid w:val="00B5695A"/>
    <w:rsid w:val="00B64B94"/>
    <w:rsid w:val="00B70765"/>
    <w:rsid w:val="00B813DD"/>
    <w:rsid w:val="00BA6885"/>
    <w:rsid w:val="00BA7B5D"/>
    <w:rsid w:val="00BB4712"/>
    <w:rsid w:val="00BB4D84"/>
    <w:rsid w:val="00BB7797"/>
    <w:rsid w:val="00BC2E24"/>
    <w:rsid w:val="00BD25E9"/>
    <w:rsid w:val="00BE0014"/>
    <w:rsid w:val="00C44F66"/>
    <w:rsid w:val="00C656D9"/>
    <w:rsid w:val="00C756EA"/>
    <w:rsid w:val="00C82F5B"/>
    <w:rsid w:val="00CC325F"/>
    <w:rsid w:val="00CC7FA8"/>
    <w:rsid w:val="00CD2F3E"/>
    <w:rsid w:val="00CD50FB"/>
    <w:rsid w:val="00CE0A70"/>
    <w:rsid w:val="00CF1882"/>
    <w:rsid w:val="00D06D08"/>
    <w:rsid w:val="00D805FE"/>
    <w:rsid w:val="00DC00EF"/>
    <w:rsid w:val="00DD3F4A"/>
    <w:rsid w:val="00DE5732"/>
    <w:rsid w:val="00E0144A"/>
    <w:rsid w:val="00E22437"/>
    <w:rsid w:val="00E31379"/>
    <w:rsid w:val="00E61564"/>
    <w:rsid w:val="00E70086"/>
    <w:rsid w:val="00E873B2"/>
    <w:rsid w:val="00EA4492"/>
    <w:rsid w:val="00EB0844"/>
    <w:rsid w:val="00EB6EE4"/>
    <w:rsid w:val="00EC2AA6"/>
    <w:rsid w:val="00EE7534"/>
    <w:rsid w:val="00EF108A"/>
    <w:rsid w:val="00F14C53"/>
    <w:rsid w:val="00F154B6"/>
    <w:rsid w:val="00F53B5F"/>
    <w:rsid w:val="00F6437E"/>
    <w:rsid w:val="00F76530"/>
    <w:rsid w:val="00FA32F7"/>
    <w:rsid w:val="00FC33A7"/>
    <w:rsid w:val="00FC6FF6"/>
    <w:rsid w:val="00FD128A"/>
    <w:rsid w:val="00FD73DE"/>
    <w:rsid w:val="00FF1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D4FD"/>
  <w15:chartTrackingRefBased/>
  <w15:docId w15:val="{6F9B62C9-D320-4D5B-A47C-FCFC6234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086"/>
  </w:style>
  <w:style w:type="paragraph" w:styleId="Heading3">
    <w:name w:val="heading 3"/>
    <w:basedOn w:val="Normal"/>
    <w:link w:val="Heading3Char"/>
    <w:uiPriority w:val="9"/>
    <w:qFormat/>
    <w:rsid w:val="007A257C"/>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4AE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E0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A70"/>
    <w:rPr>
      <w:rFonts w:ascii="Segoe UI" w:hAnsi="Segoe UI" w:cs="Segoe UI"/>
      <w:sz w:val="18"/>
      <w:szCs w:val="18"/>
    </w:rPr>
  </w:style>
  <w:style w:type="table" w:styleId="TableGrid">
    <w:name w:val="Table Grid"/>
    <w:basedOn w:val="TableNormal"/>
    <w:uiPriority w:val="39"/>
    <w:rsid w:val="0051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F05"/>
    <w:pPr>
      <w:ind w:left="720"/>
      <w:contextualSpacing/>
    </w:pPr>
  </w:style>
  <w:style w:type="character" w:styleId="CommentReference">
    <w:name w:val="annotation reference"/>
    <w:basedOn w:val="DefaultParagraphFont"/>
    <w:uiPriority w:val="99"/>
    <w:semiHidden/>
    <w:unhideWhenUsed/>
    <w:rsid w:val="00D06D08"/>
    <w:rPr>
      <w:sz w:val="16"/>
      <w:szCs w:val="16"/>
    </w:rPr>
  </w:style>
  <w:style w:type="paragraph" w:styleId="CommentText">
    <w:name w:val="annotation text"/>
    <w:basedOn w:val="Normal"/>
    <w:link w:val="CommentTextChar"/>
    <w:uiPriority w:val="99"/>
    <w:semiHidden/>
    <w:unhideWhenUsed/>
    <w:rsid w:val="00D06D08"/>
    <w:pPr>
      <w:spacing w:line="240" w:lineRule="auto"/>
    </w:pPr>
    <w:rPr>
      <w:sz w:val="20"/>
      <w:szCs w:val="20"/>
    </w:rPr>
  </w:style>
  <w:style w:type="character" w:customStyle="1" w:styleId="CommentTextChar">
    <w:name w:val="Comment Text Char"/>
    <w:basedOn w:val="DefaultParagraphFont"/>
    <w:link w:val="CommentText"/>
    <w:uiPriority w:val="99"/>
    <w:semiHidden/>
    <w:rsid w:val="00D06D08"/>
    <w:rPr>
      <w:sz w:val="20"/>
      <w:szCs w:val="20"/>
    </w:rPr>
  </w:style>
  <w:style w:type="paragraph" w:styleId="CommentSubject">
    <w:name w:val="annotation subject"/>
    <w:basedOn w:val="CommentText"/>
    <w:next w:val="CommentText"/>
    <w:link w:val="CommentSubjectChar"/>
    <w:uiPriority w:val="99"/>
    <w:semiHidden/>
    <w:unhideWhenUsed/>
    <w:rsid w:val="00D06D08"/>
    <w:rPr>
      <w:b/>
      <w:bCs/>
    </w:rPr>
  </w:style>
  <w:style w:type="character" w:customStyle="1" w:styleId="CommentSubjectChar">
    <w:name w:val="Comment Subject Char"/>
    <w:basedOn w:val="CommentTextChar"/>
    <w:link w:val="CommentSubject"/>
    <w:uiPriority w:val="99"/>
    <w:semiHidden/>
    <w:rsid w:val="00D06D08"/>
    <w:rPr>
      <w:b/>
      <w:bCs/>
      <w:sz w:val="20"/>
      <w:szCs w:val="20"/>
    </w:rPr>
  </w:style>
  <w:style w:type="character" w:styleId="Hyperlink">
    <w:name w:val="Hyperlink"/>
    <w:basedOn w:val="DefaultParagraphFont"/>
    <w:uiPriority w:val="99"/>
    <w:unhideWhenUsed/>
    <w:rsid w:val="00B813DD"/>
    <w:rPr>
      <w:color w:val="0563C1" w:themeColor="hyperlink"/>
      <w:u w:val="single"/>
    </w:rPr>
  </w:style>
  <w:style w:type="character" w:styleId="UnresolvedMention">
    <w:name w:val="Unresolved Mention"/>
    <w:basedOn w:val="DefaultParagraphFont"/>
    <w:uiPriority w:val="99"/>
    <w:semiHidden/>
    <w:unhideWhenUsed/>
    <w:rsid w:val="00B813DD"/>
    <w:rPr>
      <w:color w:val="605E5C"/>
      <w:shd w:val="clear" w:color="auto" w:fill="E1DFDD"/>
    </w:rPr>
  </w:style>
  <w:style w:type="paragraph" w:styleId="Revision">
    <w:name w:val="Revision"/>
    <w:hidden/>
    <w:uiPriority w:val="99"/>
    <w:semiHidden/>
    <w:rsid w:val="00817F50"/>
    <w:pPr>
      <w:spacing w:after="0" w:line="240" w:lineRule="auto"/>
    </w:pPr>
  </w:style>
  <w:style w:type="paragraph" w:styleId="NoSpacing">
    <w:name w:val="No Spacing"/>
    <w:uiPriority w:val="1"/>
    <w:qFormat/>
    <w:rsid w:val="00807D28"/>
    <w:pPr>
      <w:spacing w:after="0" w:line="240" w:lineRule="auto"/>
    </w:pPr>
    <w:rPr>
      <w:lang w:val="en-GB"/>
    </w:rPr>
  </w:style>
  <w:style w:type="character" w:customStyle="1" w:styleId="Heading3Char">
    <w:name w:val="Heading 3 Char"/>
    <w:basedOn w:val="DefaultParagraphFont"/>
    <w:link w:val="Heading3"/>
    <w:uiPriority w:val="9"/>
    <w:rsid w:val="007A257C"/>
    <w:rPr>
      <w:rFonts w:ascii="Times New Roman" w:eastAsia="Times New Roman" w:hAnsi="Times New Roman" w:cs="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734966">
      <w:bodyDiv w:val="1"/>
      <w:marLeft w:val="0"/>
      <w:marRight w:val="0"/>
      <w:marTop w:val="0"/>
      <w:marBottom w:val="0"/>
      <w:divBdr>
        <w:top w:val="none" w:sz="0" w:space="0" w:color="auto"/>
        <w:left w:val="none" w:sz="0" w:space="0" w:color="auto"/>
        <w:bottom w:val="none" w:sz="0" w:space="0" w:color="auto"/>
        <w:right w:val="none" w:sz="0" w:space="0" w:color="auto"/>
      </w:divBdr>
    </w:div>
    <w:div w:id="134108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image001.png@01D60423.6C59A8B0"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corporateresponsibility@amerisourceberg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2ec78c-c837-48aa-a14c-618564a8742c">
      <Terms xmlns="http://schemas.microsoft.com/office/infopath/2007/PartnerControls"/>
    </lcf76f155ced4ddcb4097134ff3c332f>
    <TaxCatchAll xmlns="7bd248a6-3223-4276-ac15-164b98cf4c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A5E66B59059D43927EF2473C933424" ma:contentTypeVersion="16" ma:contentTypeDescription="Create a new document." ma:contentTypeScope="" ma:versionID="7202efcfe3f10a5c2e61ff8bd3b16466">
  <xsd:schema xmlns:xsd="http://www.w3.org/2001/XMLSchema" xmlns:xs="http://www.w3.org/2001/XMLSchema" xmlns:p="http://schemas.microsoft.com/office/2006/metadata/properties" xmlns:ns2="fa2ec78c-c837-48aa-a14c-618564a8742c" xmlns:ns3="7bd248a6-3223-4276-ac15-164b98cf4c86" targetNamespace="http://schemas.microsoft.com/office/2006/metadata/properties" ma:root="true" ma:fieldsID="84ba91526e116ab841c67006cee7da66" ns2:_="" ns3:_="">
    <xsd:import namespace="fa2ec78c-c837-48aa-a14c-618564a8742c"/>
    <xsd:import namespace="7bd248a6-3223-4276-ac15-164b98cf4c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ec78c-c837-48aa-a14c-618564a87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c8288c-6099-4289-a83d-50ac0de6e45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248a6-3223-4276-ac15-164b98cf4c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0f7f8f-e203-4fb0-b110-032e3ae13fe5}" ma:internalName="TaxCatchAll" ma:showField="CatchAllData" ma:web="7bd248a6-3223-4276-ac15-164b98cf4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B0BBF-B613-4813-9E80-6579D30B21FC}">
  <ds:schemaRefs>
    <ds:schemaRef ds:uri="http://schemas.openxmlformats.org/officeDocument/2006/bibliography"/>
  </ds:schemaRefs>
</ds:datastoreItem>
</file>

<file path=customXml/itemProps2.xml><?xml version="1.0" encoding="utf-8"?>
<ds:datastoreItem xmlns:ds="http://schemas.openxmlformats.org/officeDocument/2006/customXml" ds:itemID="{D998D3F7-B296-4743-9C0A-1CDAC572612F}">
  <ds:schemaRefs>
    <ds:schemaRef ds:uri="http://schemas.microsoft.com/office/2006/metadata/properties"/>
    <ds:schemaRef ds:uri="http://schemas.microsoft.com/office/infopath/2007/PartnerControls"/>
    <ds:schemaRef ds:uri="fa2ec78c-c837-48aa-a14c-618564a8742c"/>
    <ds:schemaRef ds:uri="7bd248a6-3223-4276-ac15-164b98cf4c86"/>
  </ds:schemaRefs>
</ds:datastoreItem>
</file>

<file path=customXml/itemProps3.xml><?xml version="1.0" encoding="utf-8"?>
<ds:datastoreItem xmlns:ds="http://schemas.openxmlformats.org/officeDocument/2006/customXml" ds:itemID="{A6CD1FC8-D1EC-4064-A535-4C14EEEA6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ec78c-c837-48aa-a14c-618564a8742c"/>
    <ds:schemaRef ds:uri="7bd248a6-3223-4276-ac15-164b98cf4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59733C-D048-4A8F-A99C-C78AE39E44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Ashlee</dc:creator>
  <cp:keywords/>
  <dc:description/>
  <cp:lastModifiedBy>Porter, Claire</cp:lastModifiedBy>
  <cp:revision>2</cp:revision>
  <dcterms:created xsi:type="dcterms:W3CDTF">2023-03-30T22:20:00Z</dcterms:created>
  <dcterms:modified xsi:type="dcterms:W3CDTF">2023-03-30T22:20:00Z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0x0101009CA5E66B59059D43927EF2473C933424</vt:lpwstr>
  </property>
  <property fmtid="{D5CDD505-2E9C-101B-9397-08002B2CF9AE}" pid="3" name="MediaServiceImageTags">
    <vt:lpwstr/>
  </property>
</Properties>
</file>